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C74258" w14:textId="77777777" w:rsidR="00DA310F" w:rsidRPr="00DA310F" w:rsidRDefault="00DA310F" w:rsidP="00CA15D5">
      <w:pPr>
        <w:pStyle w:val="Ttulodocumento"/>
        <w:spacing w:line="320" w:lineRule="atLeast"/>
        <w:rPr>
          <w:lang w:val="es-ES"/>
        </w:rPr>
      </w:pPr>
      <w:bookmarkStart w:id="0" w:name="_Toc209699471"/>
      <w:r w:rsidRPr="00DA310F">
        <w:rPr>
          <w:lang w:val="es-ES"/>
        </w:rPr>
        <w:t>ANUNCIO DE PROYECTO COMÚN DE FUSIÓN</w:t>
      </w:r>
      <w:bookmarkEnd w:id="0"/>
    </w:p>
    <w:p w14:paraId="7E39D301" w14:textId="77777777" w:rsidR="00DA310F" w:rsidRDefault="00DA310F" w:rsidP="00CA15D5">
      <w:pPr>
        <w:pStyle w:val="Ttulodocumento"/>
        <w:spacing w:line="320" w:lineRule="atLeast"/>
        <w:outlineLvl w:val="9"/>
        <w:rPr>
          <w:lang w:val="es-ES"/>
        </w:rPr>
      </w:pPr>
      <w:r w:rsidRPr="009A2BB1">
        <w:rPr>
          <w:lang w:val="es-ES"/>
        </w:rPr>
        <w:t>Admiral Europe, Compañía de Seguros, S.A.U.</w:t>
      </w:r>
    </w:p>
    <w:p w14:paraId="622BE3F0" w14:textId="0B60D822" w:rsidR="00DA310F" w:rsidRDefault="00DA310F" w:rsidP="00CA15D5">
      <w:pPr>
        <w:pStyle w:val="Ttulodocumento"/>
        <w:spacing w:line="320" w:lineRule="atLeast"/>
        <w:outlineLvl w:val="9"/>
        <w:rPr>
          <w:lang w:val="es-ES"/>
        </w:rPr>
      </w:pPr>
      <w:r w:rsidRPr="00DA310F">
        <w:rPr>
          <w:lang w:val="es-ES"/>
        </w:rPr>
        <w:t>(Sociedad Absorbente)</w:t>
      </w:r>
      <w:r w:rsidRPr="00DA310F">
        <w:rPr>
          <w:lang w:val="es-ES"/>
        </w:rPr>
        <w:br/>
        <w:t>y</w:t>
      </w:r>
      <w:r w:rsidRPr="00DA310F">
        <w:rPr>
          <w:lang w:val="es-ES"/>
        </w:rPr>
        <w:br/>
      </w:r>
      <w:r w:rsidRPr="009A2BB1">
        <w:rPr>
          <w:lang w:val="es-ES"/>
        </w:rPr>
        <w:t xml:space="preserve">Admiral </w:t>
      </w:r>
      <w:proofErr w:type="spellStart"/>
      <w:r w:rsidRPr="009A2BB1">
        <w:rPr>
          <w:lang w:val="es-ES"/>
        </w:rPr>
        <w:t>Intermediary</w:t>
      </w:r>
      <w:proofErr w:type="spellEnd"/>
      <w:r w:rsidRPr="009A2BB1">
        <w:rPr>
          <w:lang w:val="es-ES"/>
        </w:rPr>
        <w:t xml:space="preserve"> Services, S.A.U.</w:t>
      </w:r>
      <w:r>
        <w:rPr>
          <w:lang w:val="es-ES"/>
        </w:rPr>
        <w:t xml:space="preserve"> </w:t>
      </w:r>
    </w:p>
    <w:p w14:paraId="2448F02E" w14:textId="3C8C01BF" w:rsidR="00DA310F" w:rsidRPr="00DA310F" w:rsidRDefault="00DA310F" w:rsidP="00CA15D5">
      <w:pPr>
        <w:pStyle w:val="Ttulodocumento"/>
        <w:spacing w:line="320" w:lineRule="atLeast"/>
        <w:outlineLvl w:val="9"/>
        <w:rPr>
          <w:lang w:val="es-ES"/>
        </w:rPr>
      </w:pPr>
      <w:r w:rsidRPr="00DA310F">
        <w:rPr>
          <w:lang w:val="es-ES"/>
        </w:rPr>
        <w:t>(Sociedades Absorbidas)</w:t>
      </w:r>
    </w:p>
    <w:p w14:paraId="1D32CFC2" w14:textId="669B1BEE" w:rsidR="00DA310F" w:rsidRPr="00B02445" w:rsidRDefault="00DA310F" w:rsidP="00CA15D5">
      <w:pPr>
        <w:pStyle w:val="Textoindependiente"/>
        <w:spacing w:line="320" w:lineRule="atLeast"/>
        <w:rPr>
          <w:lang w:val="es-ES"/>
        </w:rPr>
      </w:pPr>
      <w:r w:rsidRPr="00B02445">
        <w:rPr>
          <w:lang w:val="es-ES"/>
        </w:rPr>
        <w:t>En cumplimiento de lo dispuesto en el artículo 55 del Real Decreto-ley 5/2023, de 23 de junio</w:t>
      </w:r>
      <w:r w:rsidR="00B87DA8">
        <w:rPr>
          <w:lang w:val="es-ES"/>
        </w:rPr>
        <w:t xml:space="preserve">, </w:t>
      </w:r>
      <w:r w:rsidR="00B87DA8" w:rsidRPr="006D6A15">
        <w:rPr>
          <w:lang w:val="es-ES_tradnl"/>
        </w:rPr>
        <w:t>por el que se adoptan y prorrogan determinadas medidas de respuesta a las consecuencias económicas y sociales de la Guerra de Ucrania, de apoyo a la reconstrucción de la isla de La Palma y a otras situaciones de vulnerabilidad; de transposición de Directivas de la Unión Europea en materia de modificaciones estructurales de sociedades mercantiles y conciliación de la vida familiar y la vida profesional de los progenitores y los cuidadores; y de ejecución y cumplimiento del Derecho de la Unión Europea</w:t>
      </w:r>
      <w:r w:rsidRPr="00B02445">
        <w:rPr>
          <w:lang w:val="es-ES"/>
        </w:rPr>
        <w:t xml:space="preserve"> (la “</w:t>
      </w:r>
      <w:r w:rsidRPr="00B02445">
        <w:rPr>
          <w:b/>
          <w:bCs/>
          <w:lang w:val="es-ES"/>
        </w:rPr>
        <w:t>LME</w:t>
      </w:r>
      <w:r w:rsidRPr="00B02445">
        <w:rPr>
          <w:lang w:val="es-ES"/>
        </w:rPr>
        <w:t>”), se hace públic</w:t>
      </w:r>
      <w:r w:rsidR="00B87DA8">
        <w:rPr>
          <w:lang w:val="es-ES"/>
        </w:rPr>
        <w:t>a</w:t>
      </w:r>
      <w:r w:rsidRPr="00B02445">
        <w:rPr>
          <w:lang w:val="es-ES"/>
        </w:rPr>
        <w:t xml:space="preserve"> </w:t>
      </w:r>
      <w:r w:rsidR="00B87DA8">
        <w:rPr>
          <w:lang w:val="es-ES"/>
        </w:rPr>
        <w:t xml:space="preserve">la aprobación por </w:t>
      </w:r>
      <w:r>
        <w:rPr>
          <w:lang w:val="es-ES"/>
        </w:rPr>
        <w:t xml:space="preserve">los </w:t>
      </w:r>
      <w:r w:rsidRPr="00B02445">
        <w:rPr>
          <w:lang w:val="es-ES"/>
        </w:rPr>
        <w:t>órgano</w:t>
      </w:r>
      <w:r>
        <w:rPr>
          <w:lang w:val="es-ES"/>
        </w:rPr>
        <w:t>s</w:t>
      </w:r>
      <w:r w:rsidRPr="00B02445">
        <w:rPr>
          <w:lang w:val="es-ES"/>
        </w:rPr>
        <w:t xml:space="preserve"> de administración de </w:t>
      </w:r>
      <w:r w:rsidRPr="009A2BB1">
        <w:rPr>
          <w:lang w:val="es-ES"/>
        </w:rPr>
        <w:t>Admiral Europe, Compañía de Seguros, S.A.U.</w:t>
      </w:r>
      <w:r w:rsidRPr="00B02445">
        <w:rPr>
          <w:lang w:val="es-ES"/>
        </w:rPr>
        <w:t xml:space="preserve"> (la “</w:t>
      </w:r>
      <w:r w:rsidRPr="00B02445">
        <w:rPr>
          <w:b/>
          <w:bCs/>
          <w:lang w:val="es-ES"/>
        </w:rPr>
        <w:t>Sociedad Absorbente</w:t>
      </w:r>
      <w:r w:rsidRPr="00B02445">
        <w:rPr>
          <w:lang w:val="es-ES"/>
        </w:rPr>
        <w:t>”) y</w:t>
      </w:r>
      <w:r>
        <w:rPr>
          <w:lang w:val="es-ES"/>
        </w:rPr>
        <w:t xml:space="preserve"> </w:t>
      </w:r>
      <w:r w:rsidRPr="009A2BB1">
        <w:rPr>
          <w:lang w:val="es-ES"/>
        </w:rPr>
        <w:t xml:space="preserve">Admiral </w:t>
      </w:r>
      <w:proofErr w:type="spellStart"/>
      <w:r w:rsidRPr="009A2BB1">
        <w:rPr>
          <w:lang w:val="es-ES"/>
        </w:rPr>
        <w:t>Intermediary</w:t>
      </w:r>
      <w:proofErr w:type="spellEnd"/>
      <w:r w:rsidRPr="009A2BB1">
        <w:rPr>
          <w:lang w:val="es-ES"/>
        </w:rPr>
        <w:t xml:space="preserve"> Services, S.A.U.</w:t>
      </w:r>
      <w:r>
        <w:rPr>
          <w:lang w:val="es-ES"/>
        </w:rPr>
        <w:t xml:space="preserve"> </w:t>
      </w:r>
      <w:r w:rsidRPr="00B02445">
        <w:rPr>
          <w:lang w:val="es-ES"/>
        </w:rPr>
        <w:t>(</w:t>
      </w:r>
      <w:r>
        <w:rPr>
          <w:lang w:val="es-ES"/>
        </w:rPr>
        <w:t>la</w:t>
      </w:r>
      <w:r w:rsidRPr="00B02445">
        <w:rPr>
          <w:lang w:val="es-ES"/>
        </w:rPr>
        <w:t xml:space="preserve"> “</w:t>
      </w:r>
      <w:r w:rsidRPr="00B02445">
        <w:rPr>
          <w:b/>
          <w:bCs/>
          <w:lang w:val="es-ES"/>
        </w:rPr>
        <w:t xml:space="preserve">Sociedad </w:t>
      </w:r>
      <w:r>
        <w:rPr>
          <w:b/>
          <w:bCs/>
          <w:lang w:val="es-ES"/>
        </w:rPr>
        <w:t>Absorbida</w:t>
      </w:r>
      <w:r w:rsidRPr="00B02445">
        <w:rPr>
          <w:lang w:val="es-ES"/>
        </w:rPr>
        <w:t xml:space="preserve">”) con fecha </w:t>
      </w:r>
      <w:r>
        <w:rPr>
          <w:lang w:val="es-ES"/>
        </w:rPr>
        <w:t>27 de febrero de 2026</w:t>
      </w:r>
      <w:r>
        <w:rPr>
          <w:bCs/>
          <w:lang w:val="es-ES"/>
        </w:rPr>
        <w:t xml:space="preserve"> </w:t>
      </w:r>
      <w:r w:rsidR="00B87DA8">
        <w:rPr>
          <w:bCs/>
          <w:lang w:val="es-ES"/>
        </w:rPr>
        <w:t>d</w:t>
      </w:r>
      <w:r w:rsidRPr="00B02445">
        <w:rPr>
          <w:lang w:val="es-ES"/>
        </w:rPr>
        <w:t>el proyecto común de fusión (el “</w:t>
      </w:r>
      <w:r w:rsidRPr="00B02445">
        <w:rPr>
          <w:b/>
          <w:bCs/>
          <w:lang w:val="es-ES"/>
        </w:rPr>
        <w:t>Proyecto</w:t>
      </w:r>
      <w:r>
        <w:rPr>
          <w:b/>
          <w:bCs/>
          <w:lang w:val="es-ES"/>
        </w:rPr>
        <w:t xml:space="preserve"> Común de Fusión</w:t>
      </w:r>
      <w:r w:rsidRPr="00B02445">
        <w:rPr>
          <w:lang w:val="es-ES"/>
        </w:rPr>
        <w:t xml:space="preserve">”) referido a la fusión por absorción de </w:t>
      </w:r>
      <w:r>
        <w:rPr>
          <w:lang w:val="es-ES"/>
        </w:rPr>
        <w:t>la Sociedad Absorbida</w:t>
      </w:r>
      <w:r w:rsidRPr="00B02445">
        <w:rPr>
          <w:lang w:val="es-ES"/>
        </w:rPr>
        <w:t xml:space="preserve"> por parte de la Sociedad Absorbente (la “</w:t>
      </w:r>
      <w:r w:rsidRPr="00B02445">
        <w:rPr>
          <w:b/>
          <w:bCs/>
          <w:lang w:val="es-ES"/>
        </w:rPr>
        <w:t>Fusión</w:t>
      </w:r>
      <w:r w:rsidRPr="00B02445">
        <w:rPr>
          <w:lang w:val="es-ES"/>
        </w:rPr>
        <w:t>”).</w:t>
      </w:r>
    </w:p>
    <w:p w14:paraId="7FBF2E58" w14:textId="6732A0B4" w:rsidR="00B87DA8" w:rsidRDefault="00B87DA8" w:rsidP="00B87DA8">
      <w:pPr>
        <w:jc w:val="both"/>
        <w:rPr>
          <w:lang w:val="es-ES"/>
        </w:rPr>
      </w:pPr>
      <w:r>
        <w:rPr>
          <w:lang w:val="es-ES"/>
        </w:rPr>
        <w:t>Asimismo, se hace constar que los órganos de administración de las Sociedades han aprobado l</w:t>
      </w:r>
      <w:r w:rsidRPr="00037189">
        <w:rPr>
          <w:lang w:val="es-ES"/>
        </w:rPr>
        <w:t xml:space="preserve">a Fusión </w:t>
      </w:r>
      <w:r>
        <w:rPr>
          <w:lang w:val="es-ES"/>
        </w:rPr>
        <w:t xml:space="preserve">en la misma fecha 27 de febrero </w:t>
      </w:r>
      <w:r w:rsidRPr="004C1976">
        <w:rPr>
          <w:lang w:val="es-ES"/>
        </w:rPr>
        <w:t>de 202</w:t>
      </w:r>
      <w:r>
        <w:rPr>
          <w:lang w:val="es-ES"/>
        </w:rPr>
        <w:t xml:space="preserve">6, </w:t>
      </w:r>
      <w:r w:rsidRPr="00037189">
        <w:rPr>
          <w:lang w:val="es-ES"/>
        </w:rPr>
        <w:t xml:space="preserve">en los términos del </w:t>
      </w:r>
      <w:r>
        <w:rPr>
          <w:lang w:val="es-ES"/>
        </w:rPr>
        <w:t>P</w:t>
      </w:r>
      <w:r w:rsidRPr="00037189">
        <w:rPr>
          <w:lang w:val="es-ES"/>
        </w:rPr>
        <w:t xml:space="preserve">royecto </w:t>
      </w:r>
      <w:r>
        <w:rPr>
          <w:lang w:val="es-ES"/>
        </w:rPr>
        <w:t>C</w:t>
      </w:r>
      <w:r w:rsidRPr="00037189">
        <w:rPr>
          <w:lang w:val="es-ES"/>
        </w:rPr>
        <w:t xml:space="preserve">omún de </w:t>
      </w:r>
      <w:r>
        <w:rPr>
          <w:lang w:val="es-ES"/>
        </w:rPr>
        <w:t>F</w:t>
      </w:r>
      <w:r w:rsidRPr="00037189">
        <w:rPr>
          <w:lang w:val="es-ES"/>
        </w:rPr>
        <w:t>usión</w:t>
      </w:r>
      <w:r w:rsidRPr="008B735B">
        <w:rPr>
          <w:lang w:val="es-ES"/>
        </w:rPr>
        <w:t xml:space="preserve">, </w:t>
      </w:r>
      <w:r w:rsidRPr="00A94904">
        <w:rPr>
          <w:lang w:val="es-ES"/>
        </w:rPr>
        <w:t>que fue insertado en la página web corporativa de la Sociedad Absorbente (</w:t>
      </w:r>
      <w:r w:rsidR="00CA15D5" w:rsidRPr="00CA15D5">
        <w:rPr>
          <w:lang w:val="es-ES"/>
        </w:rPr>
        <w:t>www.admiraleurope.com</w:t>
      </w:r>
      <w:r w:rsidRPr="00A94904">
        <w:rPr>
          <w:lang w:val="es-ES"/>
        </w:rPr>
        <w:t xml:space="preserve">) y </w:t>
      </w:r>
      <w:r>
        <w:rPr>
          <w:lang w:val="es-ES"/>
        </w:rPr>
        <w:t>de la Sociedad Absorbida (</w:t>
      </w:r>
      <w:r w:rsidR="00CA15D5" w:rsidRPr="00CA15D5">
        <w:rPr>
          <w:lang w:val="es-ES"/>
        </w:rPr>
        <w:t>www.admiralseguros.es</w:t>
      </w:r>
      <w:r>
        <w:rPr>
          <w:lang w:val="es-ES"/>
        </w:rPr>
        <w:t xml:space="preserve">) </w:t>
      </w:r>
      <w:r w:rsidRPr="00A94904">
        <w:rPr>
          <w:lang w:val="es-ES"/>
        </w:rPr>
        <w:t>que mediante el presente anuncio se hace público.</w:t>
      </w:r>
      <w:r>
        <w:rPr>
          <w:lang w:val="es-ES"/>
        </w:rPr>
        <w:t xml:space="preserve"> </w:t>
      </w:r>
    </w:p>
    <w:p w14:paraId="264C9E27" w14:textId="77777777" w:rsidR="00B87DA8" w:rsidRDefault="00B87DA8" w:rsidP="00B87DA8">
      <w:pPr>
        <w:jc w:val="both"/>
        <w:rPr>
          <w:lang w:val="es-ES"/>
        </w:rPr>
      </w:pPr>
    </w:p>
    <w:p w14:paraId="14AC4B1D" w14:textId="67B16CC9" w:rsidR="00B87DA8" w:rsidRDefault="00B87DA8" w:rsidP="00B87DA8">
      <w:pPr>
        <w:jc w:val="both"/>
        <w:rPr>
          <w:color w:val="000000" w:themeColor="text1"/>
          <w:lang w:val="es-ES_tradnl"/>
        </w:rPr>
      </w:pPr>
      <w:r w:rsidRPr="00BA1340">
        <w:rPr>
          <w:lang w:val="es-ES"/>
        </w:rPr>
        <w:t xml:space="preserve">La </w:t>
      </w:r>
      <w:r>
        <w:rPr>
          <w:lang w:val="es-ES"/>
        </w:rPr>
        <w:t>Fusión</w:t>
      </w:r>
      <w:r w:rsidRPr="00BA1340">
        <w:rPr>
          <w:lang w:val="es-ES"/>
        </w:rPr>
        <w:t xml:space="preserve"> se efectuará de conformidad con </w:t>
      </w:r>
      <w:r>
        <w:rPr>
          <w:lang w:val="es-ES"/>
        </w:rPr>
        <w:t>la LME</w:t>
      </w:r>
      <w:r w:rsidRPr="00BA1340">
        <w:rPr>
          <w:lang w:val="es-ES"/>
        </w:rPr>
        <w:t xml:space="preserve"> y, en particular, de acuerdo con el </w:t>
      </w:r>
      <w:r w:rsidRPr="006D6A15">
        <w:rPr>
          <w:color w:val="000000" w:themeColor="text1"/>
          <w:lang w:val="es-ES_tradnl"/>
        </w:rPr>
        <w:t xml:space="preserve">régimen para las fusiones </w:t>
      </w:r>
      <w:r w:rsidRPr="00BA1340">
        <w:rPr>
          <w:lang w:val="es-ES"/>
        </w:rPr>
        <w:t xml:space="preserve">previsto en </w:t>
      </w:r>
      <w:r>
        <w:rPr>
          <w:lang w:val="es-ES"/>
        </w:rPr>
        <w:t>los</w:t>
      </w:r>
      <w:r w:rsidRPr="00BA1340">
        <w:rPr>
          <w:lang w:val="es-ES"/>
        </w:rPr>
        <w:t xml:space="preserve"> </w:t>
      </w:r>
      <w:r w:rsidRPr="00A7059D">
        <w:rPr>
          <w:lang w:val="es-ES"/>
        </w:rPr>
        <w:t>artículo</w:t>
      </w:r>
      <w:r>
        <w:rPr>
          <w:lang w:val="es-ES"/>
        </w:rPr>
        <w:t>s</w:t>
      </w:r>
      <w:r w:rsidRPr="00A7059D">
        <w:rPr>
          <w:lang w:val="es-ES"/>
        </w:rPr>
        <w:t xml:space="preserve"> 53.1</w:t>
      </w:r>
      <w:r>
        <w:rPr>
          <w:lang w:val="es-ES"/>
        </w:rPr>
        <w:t xml:space="preserve">, </w:t>
      </w:r>
      <w:r w:rsidRPr="00BA1340">
        <w:rPr>
          <w:lang w:val="es-ES"/>
        </w:rPr>
        <w:t xml:space="preserve">toda vez que </w:t>
      </w:r>
      <w:r>
        <w:rPr>
          <w:lang w:val="es-ES"/>
        </w:rPr>
        <w:t>las</w:t>
      </w:r>
      <w:r w:rsidRPr="006D6A15">
        <w:rPr>
          <w:color w:val="000000" w:themeColor="text1"/>
          <w:lang w:val="es-ES_tradnl"/>
        </w:rPr>
        <w:t xml:space="preserve"> Sociedad</w:t>
      </w:r>
      <w:r>
        <w:rPr>
          <w:color w:val="000000" w:themeColor="text1"/>
          <w:lang w:val="es-ES_tradnl"/>
        </w:rPr>
        <w:t>es</w:t>
      </w:r>
      <w:r w:rsidRPr="006D6A15">
        <w:rPr>
          <w:color w:val="000000" w:themeColor="text1"/>
          <w:lang w:val="es-ES_tradnl"/>
        </w:rPr>
        <w:t xml:space="preserve"> </w:t>
      </w:r>
      <w:r>
        <w:rPr>
          <w:color w:val="000000" w:themeColor="text1"/>
          <w:lang w:val="es-ES_tradnl"/>
        </w:rPr>
        <w:t xml:space="preserve">están participadas de </w:t>
      </w:r>
      <w:r w:rsidRPr="006D6A15">
        <w:rPr>
          <w:color w:val="000000" w:themeColor="text1"/>
          <w:lang w:val="es-ES_tradnl"/>
        </w:rPr>
        <w:t xml:space="preserve">forma directa </w:t>
      </w:r>
      <w:r>
        <w:rPr>
          <w:color w:val="000000" w:themeColor="text1"/>
          <w:lang w:val="es-ES_tradnl"/>
        </w:rPr>
        <w:t>por el mismo accionista único, y 55 de la LME, dado que está previsto que la Fusión se lleve a cabo sin necesidad de aprobación por la junta general de accionistas de la Sociedad Absorbente.</w:t>
      </w:r>
    </w:p>
    <w:p w14:paraId="7E1E5549" w14:textId="77777777" w:rsidR="00B87DA8" w:rsidRDefault="00B87DA8" w:rsidP="00B87DA8">
      <w:pPr>
        <w:jc w:val="both"/>
        <w:rPr>
          <w:lang w:val="es-ES_tradnl"/>
        </w:rPr>
      </w:pPr>
    </w:p>
    <w:p w14:paraId="63DEB893" w14:textId="171F19C9" w:rsidR="00B87DA8" w:rsidRDefault="00B87DA8" w:rsidP="00B87DA8">
      <w:pPr>
        <w:jc w:val="both"/>
        <w:rPr>
          <w:lang w:val="es-ES"/>
        </w:rPr>
      </w:pPr>
      <w:r w:rsidRPr="00037189">
        <w:rPr>
          <w:lang w:val="es-ES"/>
        </w:rPr>
        <w:t xml:space="preserve">En consecuencia, según se expone en el Proyecto </w:t>
      </w:r>
      <w:r>
        <w:rPr>
          <w:lang w:val="es-ES"/>
        </w:rPr>
        <w:t xml:space="preserve">Común </w:t>
      </w:r>
      <w:r w:rsidRPr="00037189">
        <w:rPr>
          <w:lang w:val="es-ES"/>
        </w:rPr>
        <w:t xml:space="preserve">de Fusión, no resulta necesario para esta Fusión </w:t>
      </w:r>
      <w:r w:rsidRPr="008B735B">
        <w:rPr>
          <w:lang w:val="es-ES"/>
        </w:rPr>
        <w:t>(i) la inclusión de determinadas menciones</w:t>
      </w:r>
      <w:r>
        <w:rPr>
          <w:lang w:val="es-ES"/>
        </w:rPr>
        <w:t xml:space="preserve"> </w:t>
      </w:r>
      <w:r w:rsidRPr="008B735B">
        <w:rPr>
          <w:lang w:val="es-ES"/>
        </w:rPr>
        <w:t xml:space="preserve">en el Proyecto </w:t>
      </w:r>
      <w:r>
        <w:rPr>
          <w:lang w:val="es-ES"/>
        </w:rPr>
        <w:t xml:space="preserve">Común </w:t>
      </w:r>
      <w:r w:rsidRPr="008B735B">
        <w:rPr>
          <w:lang w:val="es-ES"/>
        </w:rPr>
        <w:t>de Fusión; (</w:t>
      </w:r>
      <w:proofErr w:type="spellStart"/>
      <w:r w:rsidRPr="008B735B">
        <w:rPr>
          <w:lang w:val="es-ES"/>
        </w:rPr>
        <w:t>ii</w:t>
      </w:r>
      <w:proofErr w:type="spellEnd"/>
      <w:r w:rsidRPr="008B735B">
        <w:rPr>
          <w:lang w:val="es-ES"/>
        </w:rPr>
        <w:t xml:space="preserve">) </w:t>
      </w:r>
      <w:r>
        <w:rPr>
          <w:lang w:val="es-ES"/>
        </w:rPr>
        <w:t>e</w:t>
      </w:r>
      <w:r w:rsidRPr="008B735B">
        <w:rPr>
          <w:lang w:val="es-ES"/>
        </w:rPr>
        <w:t>l informe de administradores</w:t>
      </w:r>
      <w:r>
        <w:rPr>
          <w:lang w:val="es-ES"/>
        </w:rPr>
        <w:t>, sin perjuicio de lo cual ha sido aprobado,</w:t>
      </w:r>
      <w:r w:rsidRPr="008B735B">
        <w:rPr>
          <w:lang w:val="es-ES"/>
        </w:rPr>
        <w:t xml:space="preserve"> y de expertos sobre</w:t>
      </w:r>
      <w:r>
        <w:rPr>
          <w:lang w:val="es-ES"/>
        </w:rPr>
        <w:t xml:space="preserve"> </w:t>
      </w:r>
      <w:r w:rsidRPr="008B735B">
        <w:rPr>
          <w:lang w:val="es-ES"/>
        </w:rPr>
        <w:t xml:space="preserve">el Proyecto </w:t>
      </w:r>
      <w:r>
        <w:rPr>
          <w:lang w:val="es-ES"/>
        </w:rPr>
        <w:t xml:space="preserve">Común </w:t>
      </w:r>
      <w:r w:rsidRPr="008B735B">
        <w:rPr>
          <w:lang w:val="es-ES"/>
        </w:rPr>
        <w:t>de Fusión; (</w:t>
      </w:r>
      <w:proofErr w:type="spellStart"/>
      <w:r w:rsidRPr="008B735B">
        <w:rPr>
          <w:lang w:val="es-ES"/>
        </w:rPr>
        <w:t>iii</w:t>
      </w:r>
      <w:proofErr w:type="spellEnd"/>
      <w:r w:rsidRPr="008B735B">
        <w:rPr>
          <w:lang w:val="es-ES"/>
        </w:rPr>
        <w:t xml:space="preserve">) el aumento de capital de </w:t>
      </w:r>
      <w:r>
        <w:rPr>
          <w:lang w:val="es-ES"/>
        </w:rPr>
        <w:t>la Sociedad Absorbente</w:t>
      </w:r>
      <w:r w:rsidRPr="008B735B">
        <w:rPr>
          <w:lang w:val="es-ES"/>
        </w:rPr>
        <w:t>; (</w:t>
      </w:r>
      <w:proofErr w:type="spellStart"/>
      <w:r w:rsidRPr="008B735B">
        <w:rPr>
          <w:lang w:val="es-ES"/>
        </w:rPr>
        <w:t>iv</w:t>
      </w:r>
      <w:proofErr w:type="spellEnd"/>
      <w:r w:rsidRPr="008B735B">
        <w:rPr>
          <w:lang w:val="es-ES"/>
        </w:rPr>
        <w:t>) la</w:t>
      </w:r>
      <w:r>
        <w:rPr>
          <w:lang w:val="es-ES"/>
        </w:rPr>
        <w:t xml:space="preserve"> </w:t>
      </w:r>
      <w:r w:rsidRPr="008B735B">
        <w:rPr>
          <w:lang w:val="es-ES"/>
        </w:rPr>
        <w:t>aprobación de la Fusión por el socio único</w:t>
      </w:r>
      <w:r>
        <w:rPr>
          <w:lang w:val="es-ES"/>
        </w:rPr>
        <w:t xml:space="preserve"> </w:t>
      </w:r>
      <w:r w:rsidRPr="008B735B">
        <w:rPr>
          <w:lang w:val="es-ES"/>
        </w:rPr>
        <w:t>de la</w:t>
      </w:r>
      <w:r>
        <w:rPr>
          <w:lang w:val="es-ES"/>
        </w:rPr>
        <w:t xml:space="preserve"> </w:t>
      </w:r>
      <w:r w:rsidRPr="008B735B">
        <w:rPr>
          <w:lang w:val="es-ES"/>
        </w:rPr>
        <w:t xml:space="preserve">Sociedad Absorbida; ni (v) la aprobación por </w:t>
      </w:r>
      <w:r w:rsidRPr="008B735B">
        <w:rPr>
          <w:lang w:val="es-ES"/>
        </w:rPr>
        <w:lastRenderedPageBreak/>
        <w:t xml:space="preserve">la junta general de </w:t>
      </w:r>
      <w:r>
        <w:rPr>
          <w:lang w:val="es-ES"/>
        </w:rPr>
        <w:t>accionistas de la Sociedad Absorbente</w:t>
      </w:r>
      <w:r w:rsidRPr="008B735B">
        <w:rPr>
          <w:lang w:val="es-ES"/>
        </w:rPr>
        <w:t xml:space="preserve">, salvo que así lo soliciten accionistas representativos de, al menos, </w:t>
      </w:r>
      <w:r>
        <w:rPr>
          <w:lang w:val="es-ES"/>
        </w:rPr>
        <w:t xml:space="preserve">un uno </w:t>
      </w:r>
      <w:r w:rsidRPr="008B735B">
        <w:rPr>
          <w:lang w:val="es-ES"/>
        </w:rPr>
        <w:t>por ciento</w:t>
      </w:r>
      <w:r>
        <w:rPr>
          <w:lang w:val="es-ES"/>
        </w:rPr>
        <w:t xml:space="preserve"> (1%)</w:t>
      </w:r>
      <w:r w:rsidRPr="008B735B">
        <w:rPr>
          <w:lang w:val="es-ES"/>
        </w:rPr>
        <w:t xml:space="preserve"> del capital social por el cauce legalmente previsto</w:t>
      </w:r>
      <w:r w:rsidR="006B69A1">
        <w:rPr>
          <w:lang w:val="es-ES"/>
        </w:rPr>
        <w:t>,</w:t>
      </w:r>
      <w:r>
        <w:rPr>
          <w:lang w:val="es-ES"/>
        </w:rPr>
        <w:t xml:space="preserve"> lo que no está previsto que suceda dado que se trata de una sociedad unipersonal</w:t>
      </w:r>
      <w:r w:rsidRPr="008B735B">
        <w:rPr>
          <w:lang w:val="es-ES"/>
        </w:rPr>
        <w:t>.</w:t>
      </w:r>
    </w:p>
    <w:p w14:paraId="725BBFE8" w14:textId="77777777" w:rsidR="00B87DA8" w:rsidRDefault="00B87DA8" w:rsidP="00B87DA8">
      <w:pPr>
        <w:jc w:val="both"/>
        <w:rPr>
          <w:lang w:val="es-ES"/>
        </w:rPr>
      </w:pPr>
    </w:p>
    <w:p w14:paraId="44DE25AF" w14:textId="7BE58AEA" w:rsidR="00B87DA8" w:rsidRDefault="00B87DA8" w:rsidP="00B87DA8">
      <w:pPr>
        <w:jc w:val="both"/>
        <w:rPr>
          <w:lang w:val="es-ES"/>
        </w:rPr>
      </w:pPr>
      <w:r w:rsidRPr="009A51E3">
        <w:rPr>
          <w:lang w:val="es-ES"/>
        </w:rPr>
        <w:t>De conformidad con lo establecido en el artículo 55 de la LME, se hace constar el derecho que corresponde a los accionistas</w:t>
      </w:r>
      <w:r>
        <w:rPr>
          <w:lang w:val="es-ES"/>
        </w:rPr>
        <w:t xml:space="preserve"> y </w:t>
      </w:r>
      <w:r w:rsidRPr="009A51E3">
        <w:rPr>
          <w:lang w:val="es-ES"/>
        </w:rPr>
        <w:t>acreedores de las Sociedades a examinar en los respectivos domicilios sociales</w:t>
      </w:r>
      <w:r>
        <w:rPr>
          <w:lang w:val="es-ES"/>
        </w:rPr>
        <w:t xml:space="preserve"> (</w:t>
      </w:r>
      <w:r w:rsidR="00CA15D5">
        <w:rPr>
          <w:lang w:val="es-ES"/>
        </w:rPr>
        <w:t xml:space="preserve">en ambos casos, </w:t>
      </w:r>
      <w:r w:rsidR="00CA15D5" w:rsidRPr="00CA15D5">
        <w:rPr>
          <w:lang w:val="es-ES"/>
        </w:rPr>
        <w:t>calle Rodr</w:t>
      </w:r>
      <w:r w:rsidR="001D6D90">
        <w:rPr>
          <w:lang w:val="es-ES"/>
        </w:rPr>
        <w:t>í</w:t>
      </w:r>
      <w:r w:rsidR="00CA15D5" w:rsidRPr="00CA15D5">
        <w:rPr>
          <w:lang w:val="es-ES"/>
        </w:rPr>
        <w:t>guez Mar</w:t>
      </w:r>
      <w:r w:rsidR="001D6D90">
        <w:rPr>
          <w:lang w:val="es-ES"/>
        </w:rPr>
        <w:t>í</w:t>
      </w:r>
      <w:r w:rsidR="00CA15D5" w:rsidRPr="00CA15D5">
        <w:rPr>
          <w:lang w:val="es-ES"/>
        </w:rPr>
        <w:t>n, 61, 1ª Planta Madrid 28016</w:t>
      </w:r>
      <w:r w:rsidR="00CA15D5" w:rsidRPr="00CA15D5" w:rsidDel="00CA15D5">
        <w:rPr>
          <w:lang w:val="es-ES"/>
        </w:rPr>
        <w:t xml:space="preserve"> </w:t>
      </w:r>
      <w:r>
        <w:rPr>
          <w:lang w:val="es-ES"/>
        </w:rPr>
        <w:t>)</w:t>
      </w:r>
      <w:r w:rsidRPr="009A51E3">
        <w:rPr>
          <w:lang w:val="es-ES"/>
        </w:rPr>
        <w:t xml:space="preserve">, </w:t>
      </w:r>
      <w:r w:rsidRPr="00B8670A">
        <w:rPr>
          <w:lang w:val="es-ES"/>
        </w:rPr>
        <w:t>así como a obtener la entrega o el envío gratuito de</w:t>
      </w:r>
      <w:r w:rsidRPr="009A51E3">
        <w:rPr>
          <w:lang w:val="es-ES"/>
        </w:rPr>
        <w:t xml:space="preserve"> los siguientes documentos </w:t>
      </w:r>
      <w:r>
        <w:rPr>
          <w:lang w:val="es-ES"/>
        </w:rPr>
        <w:t>(i) el Proyecto Común de Fusión, (</w:t>
      </w:r>
      <w:proofErr w:type="spellStart"/>
      <w:r>
        <w:rPr>
          <w:lang w:val="es-ES"/>
        </w:rPr>
        <w:t>ii</w:t>
      </w:r>
      <w:proofErr w:type="spellEnd"/>
      <w:r>
        <w:rPr>
          <w:lang w:val="es-ES"/>
        </w:rPr>
        <w:t>) el informe de los administradores de las Sociedades sobre el Proyecto Común de Fusión; (</w:t>
      </w:r>
      <w:proofErr w:type="spellStart"/>
      <w:r>
        <w:rPr>
          <w:lang w:val="es-ES"/>
        </w:rPr>
        <w:t>iii</w:t>
      </w:r>
      <w:proofErr w:type="spellEnd"/>
      <w:r>
        <w:rPr>
          <w:lang w:val="es-ES"/>
        </w:rPr>
        <w:t xml:space="preserve">) el anuncio previsto en el artículo </w:t>
      </w:r>
      <w:r w:rsidRPr="001E0A26">
        <w:rPr>
          <w:lang w:val="es-ES"/>
        </w:rPr>
        <w:t>7.1</w:t>
      </w:r>
      <w:r w:rsidRPr="00B84F0A">
        <w:rPr>
          <w:lang w:val="es-ES"/>
        </w:rPr>
        <w:t>.2º de</w:t>
      </w:r>
      <w:r>
        <w:rPr>
          <w:lang w:val="es-ES"/>
        </w:rPr>
        <w:t xml:space="preserve"> </w:t>
      </w:r>
      <w:r w:rsidRPr="00B84F0A">
        <w:rPr>
          <w:lang w:val="es-ES"/>
        </w:rPr>
        <w:t>l</w:t>
      </w:r>
      <w:r>
        <w:rPr>
          <w:lang w:val="es-ES"/>
        </w:rPr>
        <w:t>a LME; (</w:t>
      </w:r>
      <w:proofErr w:type="spellStart"/>
      <w:r>
        <w:rPr>
          <w:lang w:val="es-ES"/>
        </w:rPr>
        <w:t>iv</w:t>
      </w:r>
      <w:proofErr w:type="spellEnd"/>
      <w:r>
        <w:rPr>
          <w:lang w:val="es-ES"/>
        </w:rPr>
        <w:t>) las cuentas anuales, informes de gestión e informes de auditoría (en aquellos casos en que la auditoría sea obligatoria) de los últimos tres (3) años de las Sociedades; (v) los Balances de Fusión de las Sociedades; (vi) los estatutos sociales vigentes de las Sociedades; (</w:t>
      </w:r>
      <w:proofErr w:type="spellStart"/>
      <w:r>
        <w:rPr>
          <w:lang w:val="es-ES"/>
        </w:rPr>
        <w:t>vii</w:t>
      </w:r>
      <w:proofErr w:type="spellEnd"/>
      <w:r>
        <w:rPr>
          <w:lang w:val="es-ES"/>
        </w:rPr>
        <w:t>) la información sobre la identidad de los administradores de las Sociedades; y (</w:t>
      </w:r>
      <w:proofErr w:type="spellStart"/>
      <w:r>
        <w:rPr>
          <w:lang w:val="es-ES"/>
        </w:rPr>
        <w:t>viii</w:t>
      </w:r>
      <w:proofErr w:type="spellEnd"/>
      <w:r>
        <w:rPr>
          <w:lang w:val="es-ES"/>
        </w:rPr>
        <w:t>) del anuncio exigido conforme al artículo 55 de la LME</w:t>
      </w:r>
      <w:r w:rsidRPr="00B84F0A">
        <w:rPr>
          <w:lang w:val="es-ES"/>
        </w:rPr>
        <w:t>.</w:t>
      </w:r>
      <w:r w:rsidRPr="009A51E3">
        <w:rPr>
          <w:lang w:val="es-ES"/>
        </w:rPr>
        <w:t xml:space="preserve"> Asimismo, se deja constancia de que los citados documentos están disponibles en la página web corporativa </w:t>
      </w:r>
      <w:r w:rsidRPr="004A0D9B">
        <w:rPr>
          <w:lang w:val="es-ES"/>
        </w:rPr>
        <w:t>de la Sociedad Absorbente (</w:t>
      </w:r>
      <w:r w:rsidR="00CA15D5" w:rsidRPr="00E35BEC">
        <w:rPr>
          <w:lang w:val="es-ES"/>
        </w:rPr>
        <w:t>www.admiralseguros.es</w:t>
      </w:r>
      <w:r w:rsidRPr="004A0D9B">
        <w:rPr>
          <w:lang w:val="es-ES"/>
        </w:rPr>
        <w:t>)</w:t>
      </w:r>
      <w:r w:rsidRPr="009A51E3">
        <w:rPr>
          <w:lang w:val="es-ES"/>
        </w:rPr>
        <w:t>.</w:t>
      </w:r>
    </w:p>
    <w:p w14:paraId="195894E6" w14:textId="77777777" w:rsidR="00B87DA8" w:rsidRDefault="00B87DA8" w:rsidP="00B87DA8">
      <w:pPr>
        <w:jc w:val="both"/>
        <w:rPr>
          <w:lang w:val="es-ES"/>
        </w:rPr>
      </w:pPr>
    </w:p>
    <w:p w14:paraId="6D4D8E5A" w14:textId="77777777" w:rsidR="00B87DA8" w:rsidRDefault="00B87DA8" w:rsidP="00B87DA8">
      <w:pPr>
        <w:jc w:val="both"/>
        <w:rPr>
          <w:lang w:val="es-ES"/>
        </w:rPr>
      </w:pPr>
      <w:r w:rsidRPr="004A0D9B">
        <w:rPr>
          <w:lang w:val="es-ES"/>
        </w:rPr>
        <w:t>Se hace constar el derecho que asiste a los accionistas</w:t>
      </w:r>
      <w:r>
        <w:rPr>
          <w:lang w:val="es-ES"/>
        </w:rPr>
        <w:t xml:space="preserve"> y socios,</w:t>
      </w:r>
      <w:r w:rsidRPr="004A0D9B">
        <w:rPr>
          <w:lang w:val="es-ES"/>
        </w:rPr>
        <w:t xml:space="preserve"> acreedores, representantes legales de los trabajadores o trabajadores de las Sociedades a presentar observaciones relativas al Proyecto de Fusión.</w:t>
      </w:r>
    </w:p>
    <w:p w14:paraId="535B0449" w14:textId="77777777" w:rsidR="00B87DA8" w:rsidRDefault="00B87DA8" w:rsidP="00B87DA8">
      <w:pPr>
        <w:jc w:val="both"/>
        <w:rPr>
          <w:lang w:val="es-ES"/>
        </w:rPr>
      </w:pPr>
    </w:p>
    <w:p w14:paraId="65C04C71" w14:textId="77777777" w:rsidR="00B87DA8" w:rsidRDefault="00B87DA8" w:rsidP="00B87DA8">
      <w:pPr>
        <w:jc w:val="both"/>
        <w:rPr>
          <w:lang w:val="es-ES"/>
        </w:rPr>
      </w:pPr>
      <w:r>
        <w:rPr>
          <w:lang w:val="es-ES"/>
        </w:rPr>
        <w:t>A los efectos de lo establecido en el artículo 55.1 de la LME, se reproduce a continuación el Proyecto Común de Fusión:</w:t>
      </w:r>
    </w:p>
    <w:p w14:paraId="4B0AB248" w14:textId="77777777" w:rsidR="00B87DA8" w:rsidRPr="00CA15D5" w:rsidRDefault="00B87DA8" w:rsidP="00B87DA8">
      <w:pPr>
        <w:jc w:val="both"/>
        <w:rPr>
          <w:lang w:val="es-ES"/>
        </w:rPr>
      </w:pPr>
    </w:p>
    <w:p w14:paraId="1ED1D3C5" w14:textId="77777777" w:rsidR="00B87DA8" w:rsidRPr="00CA15D5" w:rsidRDefault="00B87DA8" w:rsidP="00CA15D5">
      <w:pPr>
        <w:numPr>
          <w:ilvl w:val="0"/>
          <w:numId w:val="18"/>
        </w:numPr>
        <w:spacing w:after="160"/>
        <w:ind w:left="426" w:hanging="426"/>
        <w:contextualSpacing/>
        <w:rPr>
          <w:b/>
          <w:bCs/>
          <w:szCs w:val="24"/>
          <w:lang w:val="es-ES"/>
        </w:rPr>
      </w:pPr>
      <w:r w:rsidRPr="00CA15D5">
        <w:rPr>
          <w:b/>
          <w:bCs/>
          <w:szCs w:val="24"/>
          <w:lang w:val="es-ES"/>
        </w:rPr>
        <w:t>INTRODUCCIÓN</w:t>
      </w:r>
    </w:p>
    <w:p w14:paraId="6F714338" w14:textId="77777777" w:rsidR="00B87DA8" w:rsidRDefault="00B87DA8" w:rsidP="00CA15D5">
      <w:pPr>
        <w:ind w:left="425"/>
        <w:jc w:val="both"/>
        <w:rPr>
          <w:szCs w:val="24"/>
          <w:lang w:val="es-ES"/>
        </w:rPr>
      </w:pPr>
    </w:p>
    <w:p w14:paraId="72B5F492" w14:textId="446846CF" w:rsidR="00B87DA8" w:rsidRPr="00CA15D5" w:rsidRDefault="00B87DA8" w:rsidP="00CA15D5">
      <w:pPr>
        <w:jc w:val="both"/>
        <w:rPr>
          <w:szCs w:val="24"/>
          <w:lang w:val="es-ES"/>
        </w:rPr>
      </w:pPr>
      <w:r w:rsidRPr="00CA15D5">
        <w:rPr>
          <w:szCs w:val="24"/>
          <w:lang w:val="es-ES"/>
        </w:rPr>
        <w:t>El presente proyecto común de fusión (en adelante, el “</w:t>
      </w:r>
      <w:r w:rsidRPr="00CA15D5">
        <w:rPr>
          <w:b/>
          <w:bCs/>
          <w:szCs w:val="24"/>
          <w:lang w:val="es-ES"/>
        </w:rPr>
        <w:t>Proyecto de Fusión</w:t>
      </w:r>
      <w:r w:rsidRPr="00CA15D5">
        <w:rPr>
          <w:szCs w:val="24"/>
          <w:lang w:val="es-ES"/>
        </w:rPr>
        <w:t xml:space="preserve">”) se formula y se suscribe en cumplimiento de lo previsto en el artículo 110 del </w:t>
      </w:r>
      <w:bookmarkStart w:id="1" w:name="_Hlk208401729"/>
      <w:r w:rsidRPr="00CA15D5">
        <w:rPr>
          <w:szCs w:val="24"/>
          <w:lang w:val="es-ES"/>
        </w:rPr>
        <w:t>Real Decreto 1060/2015, de 20 de noviembre, de ordenación, supervisión y solvencia de las entidades aseguradoras y reaseguradoras</w:t>
      </w:r>
      <w:bookmarkEnd w:id="1"/>
      <w:r w:rsidRPr="00CA15D5">
        <w:rPr>
          <w:szCs w:val="24"/>
          <w:lang w:val="es-ES"/>
        </w:rPr>
        <w:t xml:space="preserve"> (en adelante, “</w:t>
      </w:r>
      <w:r w:rsidRPr="00CA15D5">
        <w:rPr>
          <w:b/>
          <w:bCs/>
          <w:szCs w:val="24"/>
          <w:lang w:val="es-ES"/>
        </w:rPr>
        <w:t>ROSSEAR</w:t>
      </w:r>
      <w:r w:rsidRPr="00CA15D5">
        <w:rPr>
          <w:szCs w:val="24"/>
          <w:lang w:val="es-ES"/>
        </w:rPr>
        <w:t>”) y en el artículo 91 de la Ley 20/2015, de 14 de julio, de ordenación, supervisión y solvencia de las entidades aseguradoras y reaseguradoras (en adelante, “</w:t>
      </w:r>
      <w:r w:rsidRPr="00CA15D5">
        <w:rPr>
          <w:b/>
          <w:bCs/>
          <w:szCs w:val="24"/>
          <w:lang w:val="es-ES"/>
        </w:rPr>
        <w:t>LOSSEAR</w:t>
      </w:r>
      <w:r w:rsidRPr="00CA15D5">
        <w:rPr>
          <w:szCs w:val="24"/>
          <w:lang w:val="es-ES"/>
        </w:rPr>
        <w:t>”), y de conformidad con el artículo 39 y concordantes del Real Decreto-ley 5/2023, de 28 de junio, de transposición de Directivas de la Unión Europea en materia de modificaciones estructurales de sociedades mercantiles (en adelante, “</w:t>
      </w:r>
      <w:r w:rsidRPr="00CA15D5">
        <w:rPr>
          <w:b/>
          <w:bCs/>
          <w:szCs w:val="24"/>
          <w:lang w:val="es-ES"/>
        </w:rPr>
        <w:t>LME</w:t>
      </w:r>
      <w:r w:rsidRPr="00CA15D5">
        <w:rPr>
          <w:szCs w:val="24"/>
          <w:lang w:val="es-ES"/>
        </w:rPr>
        <w:t>”), al establecer la obligación de los administradores de cada una de las sociedades que participan en la fusión de redactar, formular y aprobar un proyecto común de fusión.</w:t>
      </w:r>
    </w:p>
    <w:p w14:paraId="4974743B" w14:textId="77777777" w:rsidR="00B87DA8" w:rsidRPr="00CA15D5" w:rsidRDefault="00B87DA8" w:rsidP="00CA15D5">
      <w:pPr>
        <w:ind w:left="425"/>
        <w:jc w:val="both"/>
        <w:rPr>
          <w:szCs w:val="24"/>
          <w:lang w:val="es-ES"/>
        </w:rPr>
      </w:pPr>
    </w:p>
    <w:p w14:paraId="139BEA8E" w14:textId="77777777" w:rsidR="00B87DA8" w:rsidRPr="00CA15D5" w:rsidRDefault="00B87DA8" w:rsidP="00CA15D5">
      <w:pPr>
        <w:jc w:val="both"/>
        <w:rPr>
          <w:szCs w:val="24"/>
          <w:lang w:val="es-ES"/>
        </w:rPr>
      </w:pPr>
      <w:r w:rsidRPr="00CA15D5">
        <w:rPr>
          <w:szCs w:val="24"/>
          <w:lang w:val="es-ES"/>
        </w:rPr>
        <w:t xml:space="preserve">La fusión proyectada se llevará a cabo mediante la absorción por parte de la sociedad española </w:t>
      </w:r>
      <w:r w:rsidRPr="00CA15D5">
        <w:rPr>
          <w:b/>
          <w:bCs/>
          <w:szCs w:val="24"/>
          <w:lang w:val="es-ES"/>
        </w:rPr>
        <w:t xml:space="preserve">ADMIRAL EUROPE, COMPAÑÍA DE SEGUROS, S.A.U., </w:t>
      </w:r>
      <w:r w:rsidRPr="00CA15D5">
        <w:rPr>
          <w:szCs w:val="24"/>
          <w:lang w:val="es-ES"/>
        </w:rPr>
        <w:t>(en adelante, indistintamente,</w:t>
      </w:r>
      <w:r w:rsidRPr="00CA15D5">
        <w:rPr>
          <w:b/>
          <w:bCs/>
          <w:szCs w:val="24"/>
          <w:lang w:val="es-ES"/>
        </w:rPr>
        <w:t xml:space="preserve"> “AECS”</w:t>
      </w:r>
      <w:r w:rsidRPr="00CA15D5">
        <w:rPr>
          <w:szCs w:val="24"/>
          <w:lang w:val="es-ES"/>
        </w:rPr>
        <w:t xml:space="preserve"> o la “</w:t>
      </w:r>
      <w:r w:rsidRPr="00CA15D5">
        <w:rPr>
          <w:b/>
          <w:bCs/>
          <w:szCs w:val="24"/>
          <w:lang w:val="es-ES"/>
        </w:rPr>
        <w:t>Sociedad Absorbente</w:t>
      </w:r>
      <w:r w:rsidRPr="00CA15D5">
        <w:rPr>
          <w:szCs w:val="24"/>
          <w:lang w:val="es-ES"/>
        </w:rPr>
        <w:t xml:space="preserve">”), entidad aseguradora con código supervisor C0805 y código europeo ESA87987822, de la sociedad española </w:t>
      </w:r>
      <w:r w:rsidRPr="00CA15D5">
        <w:rPr>
          <w:b/>
          <w:bCs/>
          <w:szCs w:val="24"/>
          <w:lang w:val="es-ES"/>
        </w:rPr>
        <w:t>ADMIRAL INTERMEDIARY SERVICES, S.A.U.</w:t>
      </w:r>
      <w:r w:rsidRPr="00CA15D5">
        <w:rPr>
          <w:szCs w:val="24"/>
          <w:lang w:val="es-ES"/>
        </w:rPr>
        <w:t xml:space="preserve"> (en adelante, indistintamente,</w:t>
      </w:r>
      <w:r w:rsidRPr="00CA15D5">
        <w:rPr>
          <w:b/>
          <w:bCs/>
          <w:szCs w:val="24"/>
          <w:lang w:val="es-ES"/>
        </w:rPr>
        <w:t xml:space="preserve"> “AIS”</w:t>
      </w:r>
      <w:r w:rsidRPr="00CA15D5">
        <w:rPr>
          <w:szCs w:val="24"/>
          <w:lang w:val="es-ES"/>
        </w:rPr>
        <w:t xml:space="preserve"> o la “</w:t>
      </w:r>
      <w:r w:rsidRPr="00CA15D5">
        <w:rPr>
          <w:b/>
          <w:bCs/>
          <w:szCs w:val="24"/>
          <w:lang w:val="es-ES"/>
        </w:rPr>
        <w:t>Sociedad Absorbida</w:t>
      </w:r>
      <w:r w:rsidRPr="00CA15D5">
        <w:rPr>
          <w:szCs w:val="24"/>
          <w:lang w:val="es-ES"/>
        </w:rPr>
        <w:t xml:space="preserve">” y, </w:t>
      </w:r>
      <w:r w:rsidRPr="00CA15D5">
        <w:rPr>
          <w:szCs w:val="24"/>
          <w:lang w:val="es-ES"/>
        </w:rPr>
        <w:lastRenderedPageBreak/>
        <w:t>conjuntamente con la Sociedad Absorbente, las “</w:t>
      </w:r>
      <w:r w:rsidRPr="00CA15D5">
        <w:rPr>
          <w:b/>
          <w:bCs/>
          <w:szCs w:val="24"/>
          <w:lang w:val="es-ES"/>
        </w:rPr>
        <w:t>Sociedades Participantes en la Fusión</w:t>
      </w:r>
      <w:r w:rsidRPr="00CA15D5">
        <w:rPr>
          <w:szCs w:val="24"/>
          <w:lang w:val="es-ES"/>
        </w:rPr>
        <w:t>”), agente de seguros vinculado con clave registro AJ0213, tratándose por este motivo de un supuesto excepcional de modificación estructural sujeto al cumplimiento de las condiciones exigidas en el artículo 91 LOSSEAR y de los requisitos mercantiles aplicables en la LME (en adelante, la “</w:t>
      </w:r>
      <w:r w:rsidRPr="00CA15D5">
        <w:rPr>
          <w:b/>
          <w:bCs/>
          <w:szCs w:val="24"/>
          <w:lang w:val="es-ES"/>
        </w:rPr>
        <w:t>Fusión</w:t>
      </w:r>
      <w:r w:rsidRPr="00CA15D5">
        <w:rPr>
          <w:szCs w:val="24"/>
          <w:lang w:val="es-ES"/>
        </w:rPr>
        <w:t>”).</w:t>
      </w:r>
    </w:p>
    <w:p w14:paraId="5F820B5F" w14:textId="77777777" w:rsidR="00B87DA8" w:rsidRPr="00CA15D5" w:rsidRDefault="00B87DA8" w:rsidP="00CA15D5">
      <w:pPr>
        <w:ind w:left="425"/>
        <w:jc w:val="both"/>
        <w:rPr>
          <w:szCs w:val="24"/>
          <w:lang w:val="es-ES"/>
        </w:rPr>
      </w:pPr>
    </w:p>
    <w:p w14:paraId="1AFB27C9" w14:textId="77777777" w:rsidR="00B87DA8" w:rsidRPr="00CA15D5" w:rsidRDefault="00B87DA8" w:rsidP="00CA15D5">
      <w:pPr>
        <w:jc w:val="both"/>
        <w:rPr>
          <w:szCs w:val="24"/>
          <w:lang w:val="es-ES"/>
        </w:rPr>
      </w:pPr>
      <w:r w:rsidRPr="00CA15D5">
        <w:rPr>
          <w:szCs w:val="24"/>
          <w:lang w:val="es-ES"/>
        </w:rPr>
        <w:t xml:space="preserve">En la presente fusión, no se dan las circunstancias previstas en el artículo 80 LME y la misma no es una fusión transfronteriza </w:t>
      </w:r>
      <w:proofErr w:type="spellStart"/>
      <w:r w:rsidRPr="00CA15D5">
        <w:rPr>
          <w:szCs w:val="24"/>
          <w:lang w:val="es-ES"/>
        </w:rPr>
        <w:t>intraeuropea</w:t>
      </w:r>
      <w:proofErr w:type="spellEnd"/>
      <w:r w:rsidRPr="00CA15D5">
        <w:rPr>
          <w:szCs w:val="24"/>
          <w:lang w:val="es-ES"/>
        </w:rPr>
        <w:t>.</w:t>
      </w:r>
    </w:p>
    <w:p w14:paraId="30320F8E" w14:textId="77777777" w:rsidR="00B87DA8" w:rsidRPr="00CA15D5" w:rsidRDefault="00B87DA8" w:rsidP="00CA15D5">
      <w:pPr>
        <w:ind w:left="425"/>
        <w:jc w:val="both"/>
        <w:rPr>
          <w:szCs w:val="24"/>
          <w:lang w:val="es-ES"/>
        </w:rPr>
      </w:pPr>
    </w:p>
    <w:p w14:paraId="0B8B83A5" w14:textId="77777777" w:rsidR="00B87DA8" w:rsidRPr="00CA15D5" w:rsidRDefault="00B87DA8" w:rsidP="00CA15D5">
      <w:pPr>
        <w:jc w:val="both"/>
        <w:rPr>
          <w:szCs w:val="24"/>
          <w:lang w:val="es-ES"/>
        </w:rPr>
      </w:pPr>
      <w:r w:rsidRPr="00CA15D5">
        <w:rPr>
          <w:szCs w:val="24"/>
          <w:lang w:val="es-ES"/>
        </w:rPr>
        <w:t xml:space="preserve">La Fusión está sujeta al cumplimiento de la condición suspensiva prevista en la Sección 20 del presente Proyecto de Fusión. </w:t>
      </w:r>
    </w:p>
    <w:p w14:paraId="0246083E" w14:textId="77777777" w:rsidR="00B87DA8" w:rsidRPr="00CA15D5" w:rsidRDefault="00B87DA8" w:rsidP="00CA15D5">
      <w:pPr>
        <w:ind w:left="425"/>
        <w:jc w:val="both"/>
        <w:rPr>
          <w:szCs w:val="24"/>
          <w:lang w:val="es-ES"/>
        </w:rPr>
      </w:pPr>
    </w:p>
    <w:p w14:paraId="53B6E7F2" w14:textId="77777777" w:rsidR="00B87DA8" w:rsidRDefault="00B87DA8" w:rsidP="00CA15D5">
      <w:pPr>
        <w:jc w:val="both"/>
        <w:rPr>
          <w:szCs w:val="24"/>
          <w:lang w:val="es-ES"/>
        </w:rPr>
      </w:pPr>
      <w:r w:rsidRPr="00CA15D5">
        <w:rPr>
          <w:szCs w:val="24"/>
          <w:lang w:val="es-ES"/>
        </w:rPr>
        <w:t xml:space="preserve">La Fusión, una vez autorizada por el </w:t>
      </w:r>
      <w:proofErr w:type="gramStart"/>
      <w:r w:rsidRPr="00CA15D5">
        <w:rPr>
          <w:szCs w:val="24"/>
          <w:lang w:val="es-ES"/>
        </w:rPr>
        <w:t>Ministro</w:t>
      </w:r>
      <w:proofErr w:type="gramEnd"/>
      <w:r w:rsidRPr="00CA15D5">
        <w:rPr>
          <w:szCs w:val="24"/>
          <w:lang w:val="es-ES"/>
        </w:rPr>
        <w:t xml:space="preserve"> de Economía, Comercio y Empresa de conformidad con el artículo 91 LOSSEAR, permitirá alcanzar un desarrollo más adecuado de la actividad aseguradora de AECS, sin suponer un menoscabo de sus garantías financieras, de los derechos de los asegurados, o de la transparencia en la asunción de las obligaciones derivadas de los contratos de seguro, tal y como se detalla en el presente documento.</w:t>
      </w:r>
    </w:p>
    <w:p w14:paraId="4571287C" w14:textId="77777777" w:rsidR="00B87DA8" w:rsidRPr="00CA15D5" w:rsidRDefault="00B87DA8" w:rsidP="00CA15D5">
      <w:pPr>
        <w:ind w:left="425"/>
        <w:jc w:val="both"/>
        <w:rPr>
          <w:szCs w:val="24"/>
          <w:lang w:val="es-ES"/>
        </w:rPr>
      </w:pPr>
    </w:p>
    <w:p w14:paraId="39F6F0BA" w14:textId="77777777" w:rsidR="00B87DA8" w:rsidRPr="00CA15D5" w:rsidRDefault="00B87DA8" w:rsidP="00CA15D5">
      <w:pPr>
        <w:jc w:val="both"/>
        <w:rPr>
          <w:szCs w:val="24"/>
          <w:lang w:val="es-ES"/>
        </w:rPr>
      </w:pPr>
      <w:r w:rsidRPr="00CA15D5">
        <w:rPr>
          <w:szCs w:val="24"/>
          <w:lang w:val="es-ES"/>
        </w:rPr>
        <w:t xml:space="preserve">En consecuencia y de conformidad con el artículo 39 de la LME: </w:t>
      </w:r>
    </w:p>
    <w:p w14:paraId="517DDCD2" w14:textId="77777777" w:rsidR="00B87DA8" w:rsidRPr="00CA15D5" w:rsidRDefault="00B87DA8" w:rsidP="00CA15D5">
      <w:pPr>
        <w:ind w:left="426"/>
        <w:jc w:val="both"/>
        <w:rPr>
          <w:szCs w:val="24"/>
          <w:lang w:val="es-ES"/>
        </w:rPr>
      </w:pPr>
    </w:p>
    <w:p w14:paraId="648D488B" w14:textId="77777777" w:rsidR="00B87DA8" w:rsidRPr="00CA15D5" w:rsidRDefault="00B87DA8" w:rsidP="00CA15D5">
      <w:pPr>
        <w:numPr>
          <w:ilvl w:val="0"/>
          <w:numId w:val="13"/>
        </w:numPr>
        <w:spacing w:after="160"/>
        <w:ind w:left="1077" w:hanging="357"/>
        <w:jc w:val="both"/>
        <w:rPr>
          <w:szCs w:val="24"/>
          <w:lang w:val="es-ES"/>
        </w:rPr>
      </w:pPr>
      <w:r w:rsidRPr="00CA15D5">
        <w:rPr>
          <w:szCs w:val="24"/>
          <w:lang w:val="es-ES"/>
        </w:rPr>
        <w:t xml:space="preserve">Redactan y suscriben el presente Proyecto de Fusión todos los miembros de los respectivos Consejos de Administración de las Sociedades Participantes en la Fusión, esto es: </w:t>
      </w:r>
    </w:p>
    <w:p w14:paraId="1B24D7B0" w14:textId="77777777" w:rsidR="00B87DA8" w:rsidRPr="00CA15D5" w:rsidRDefault="00B87DA8" w:rsidP="00CA15D5">
      <w:pPr>
        <w:ind w:left="1077"/>
        <w:jc w:val="both"/>
        <w:rPr>
          <w:szCs w:val="24"/>
          <w:lang w:val="es-ES"/>
        </w:rPr>
      </w:pPr>
    </w:p>
    <w:p w14:paraId="6F733095" w14:textId="77777777" w:rsidR="00B87DA8" w:rsidRPr="00CA15D5" w:rsidRDefault="00B87DA8" w:rsidP="00CA15D5">
      <w:pPr>
        <w:ind w:left="1077"/>
        <w:jc w:val="both"/>
        <w:rPr>
          <w:b/>
          <w:bCs/>
          <w:szCs w:val="24"/>
          <w:lang w:val="es-ES"/>
        </w:rPr>
      </w:pPr>
      <w:r w:rsidRPr="00CA15D5">
        <w:rPr>
          <w:szCs w:val="24"/>
          <w:lang w:val="es-ES"/>
        </w:rPr>
        <w:t xml:space="preserve">Por </w:t>
      </w:r>
      <w:r w:rsidRPr="00CA15D5">
        <w:rPr>
          <w:b/>
          <w:bCs/>
          <w:szCs w:val="24"/>
          <w:lang w:val="es-ES"/>
        </w:rPr>
        <w:t xml:space="preserve">ADMIRAL EUROPE, COMPAÑÍA DE SEGUROS, S.A.U., </w:t>
      </w:r>
    </w:p>
    <w:p w14:paraId="311BC66E" w14:textId="77777777" w:rsidR="00B87DA8" w:rsidRPr="00CA15D5" w:rsidRDefault="00B87DA8" w:rsidP="00CA15D5">
      <w:pPr>
        <w:ind w:left="1077"/>
        <w:jc w:val="both"/>
        <w:rPr>
          <w:szCs w:val="24"/>
          <w:lang w:val="es-ES"/>
        </w:rPr>
      </w:pPr>
      <w:r w:rsidRPr="00CA15D5">
        <w:rPr>
          <w:szCs w:val="24"/>
          <w:lang w:val="es-ES"/>
        </w:rPr>
        <w:t xml:space="preserve"> </w:t>
      </w:r>
    </w:p>
    <w:p w14:paraId="11983F02" w14:textId="77777777" w:rsidR="00B87DA8" w:rsidRPr="00CA15D5" w:rsidRDefault="00B87DA8" w:rsidP="00CA15D5">
      <w:pPr>
        <w:numPr>
          <w:ilvl w:val="2"/>
          <w:numId w:val="14"/>
        </w:numPr>
        <w:spacing w:after="160"/>
        <w:ind w:left="2703"/>
        <w:contextualSpacing/>
        <w:jc w:val="both"/>
        <w:rPr>
          <w:szCs w:val="24"/>
          <w:lang w:val="es-ES"/>
        </w:rPr>
      </w:pPr>
      <w:r w:rsidRPr="00CA15D5">
        <w:rPr>
          <w:szCs w:val="24"/>
          <w:lang w:val="es-ES"/>
        </w:rPr>
        <w:t xml:space="preserve">Julián López Zaballos, </w:t>
      </w:r>
      <w:proofErr w:type="gramStart"/>
      <w:r w:rsidRPr="00CA15D5">
        <w:rPr>
          <w:i/>
          <w:iCs/>
          <w:szCs w:val="24"/>
          <w:lang w:val="es-ES"/>
        </w:rPr>
        <w:t>Presidente</w:t>
      </w:r>
      <w:proofErr w:type="gramEnd"/>
    </w:p>
    <w:p w14:paraId="18B5E96D" w14:textId="77777777" w:rsidR="00B87DA8" w:rsidRPr="00CA15D5" w:rsidRDefault="00B87DA8" w:rsidP="00CA15D5">
      <w:pPr>
        <w:numPr>
          <w:ilvl w:val="2"/>
          <w:numId w:val="14"/>
        </w:numPr>
        <w:spacing w:after="160"/>
        <w:ind w:left="2703"/>
        <w:contextualSpacing/>
        <w:jc w:val="both"/>
        <w:rPr>
          <w:szCs w:val="24"/>
          <w:lang w:val="es-ES"/>
        </w:rPr>
      </w:pPr>
      <w:r w:rsidRPr="00CA15D5">
        <w:rPr>
          <w:szCs w:val="24"/>
          <w:lang w:val="es-ES"/>
        </w:rPr>
        <w:t xml:space="preserve">Costantino Moretti, </w:t>
      </w:r>
      <w:proofErr w:type="gramStart"/>
      <w:r w:rsidRPr="00CA15D5">
        <w:rPr>
          <w:i/>
          <w:iCs/>
          <w:szCs w:val="24"/>
          <w:lang w:val="es-ES"/>
        </w:rPr>
        <w:t>Consejero</w:t>
      </w:r>
      <w:proofErr w:type="gramEnd"/>
    </w:p>
    <w:p w14:paraId="15C8A8D5" w14:textId="77777777" w:rsidR="00B87DA8" w:rsidRPr="00CA15D5" w:rsidRDefault="00B87DA8" w:rsidP="00CA15D5">
      <w:pPr>
        <w:numPr>
          <w:ilvl w:val="2"/>
          <w:numId w:val="14"/>
        </w:numPr>
        <w:spacing w:after="160"/>
        <w:ind w:left="2703"/>
        <w:contextualSpacing/>
        <w:jc w:val="both"/>
        <w:rPr>
          <w:szCs w:val="24"/>
          <w:lang w:val="es-ES"/>
        </w:rPr>
      </w:pPr>
      <w:proofErr w:type="spellStart"/>
      <w:r w:rsidRPr="00CA15D5">
        <w:rPr>
          <w:szCs w:val="24"/>
          <w:lang w:val="es-ES"/>
        </w:rPr>
        <w:t>Geraint</w:t>
      </w:r>
      <w:proofErr w:type="spellEnd"/>
      <w:r w:rsidRPr="00CA15D5">
        <w:rPr>
          <w:szCs w:val="24"/>
          <w:lang w:val="es-ES"/>
        </w:rPr>
        <w:t xml:space="preserve"> Jones, </w:t>
      </w:r>
      <w:proofErr w:type="gramStart"/>
      <w:r w:rsidRPr="00CA15D5">
        <w:rPr>
          <w:i/>
          <w:iCs/>
          <w:szCs w:val="24"/>
          <w:lang w:val="es-ES"/>
        </w:rPr>
        <w:t>Consejero</w:t>
      </w:r>
      <w:proofErr w:type="gramEnd"/>
    </w:p>
    <w:p w14:paraId="4E01A9A0" w14:textId="77777777" w:rsidR="00B87DA8" w:rsidRPr="00CA15D5" w:rsidRDefault="00B87DA8" w:rsidP="00CA15D5">
      <w:pPr>
        <w:numPr>
          <w:ilvl w:val="2"/>
          <w:numId w:val="14"/>
        </w:numPr>
        <w:spacing w:after="160"/>
        <w:ind w:left="2703"/>
        <w:contextualSpacing/>
        <w:jc w:val="both"/>
        <w:rPr>
          <w:szCs w:val="24"/>
          <w:lang w:val="es-ES"/>
        </w:rPr>
      </w:pPr>
      <w:r w:rsidRPr="00CA15D5">
        <w:rPr>
          <w:szCs w:val="24"/>
          <w:lang w:val="es-ES"/>
        </w:rPr>
        <w:t xml:space="preserve">Delphine Asseraf, </w:t>
      </w:r>
      <w:proofErr w:type="gramStart"/>
      <w:r w:rsidRPr="00CA15D5">
        <w:rPr>
          <w:i/>
          <w:iCs/>
          <w:szCs w:val="24"/>
          <w:lang w:val="es-ES"/>
        </w:rPr>
        <w:t>Consejero</w:t>
      </w:r>
      <w:proofErr w:type="gramEnd"/>
    </w:p>
    <w:p w14:paraId="30D54C72" w14:textId="77777777" w:rsidR="00B87DA8" w:rsidRPr="00CA15D5" w:rsidRDefault="00B87DA8" w:rsidP="00CA15D5">
      <w:pPr>
        <w:numPr>
          <w:ilvl w:val="2"/>
          <w:numId w:val="14"/>
        </w:numPr>
        <w:spacing w:after="160"/>
        <w:ind w:left="2703"/>
        <w:contextualSpacing/>
        <w:jc w:val="both"/>
        <w:rPr>
          <w:szCs w:val="24"/>
          <w:lang w:val="es-ES"/>
        </w:rPr>
      </w:pPr>
      <w:r w:rsidRPr="00CA15D5">
        <w:rPr>
          <w:szCs w:val="24"/>
          <w:lang w:val="es-ES"/>
        </w:rPr>
        <w:t xml:space="preserve">Annette </w:t>
      </w:r>
      <w:r w:rsidRPr="00CA15D5">
        <w:rPr>
          <w:szCs w:val="24"/>
        </w:rPr>
        <w:t>Elizabeth</w:t>
      </w:r>
      <w:r w:rsidRPr="00CA15D5">
        <w:rPr>
          <w:szCs w:val="24"/>
          <w:lang w:val="es-ES"/>
        </w:rPr>
        <w:t xml:space="preserve"> Court, </w:t>
      </w:r>
      <w:proofErr w:type="gramStart"/>
      <w:r w:rsidRPr="00CA15D5">
        <w:rPr>
          <w:i/>
          <w:iCs/>
          <w:szCs w:val="24"/>
          <w:lang w:val="es-ES"/>
        </w:rPr>
        <w:t>Consejero</w:t>
      </w:r>
      <w:proofErr w:type="gramEnd"/>
    </w:p>
    <w:p w14:paraId="01E28BC8" w14:textId="77777777" w:rsidR="00B87DA8" w:rsidRPr="00CA15D5" w:rsidRDefault="00B87DA8" w:rsidP="00CA15D5">
      <w:pPr>
        <w:ind w:left="2703"/>
        <w:contextualSpacing/>
        <w:jc w:val="both"/>
        <w:rPr>
          <w:szCs w:val="24"/>
          <w:lang w:val="es-ES"/>
        </w:rPr>
      </w:pPr>
    </w:p>
    <w:p w14:paraId="6B192D61" w14:textId="77777777" w:rsidR="00B87DA8" w:rsidRPr="00CA15D5" w:rsidRDefault="00B87DA8" w:rsidP="00CA15D5">
      <w:pPr>
        <w:ind w:left="1077"/>
        <w:jc w:val="both"/>
        <w:rPr>
          <w:szCs w:val="24"/>
          <w:lang w:val="es-ES"/>
        </w:rPr>
      </w:pPr>
      <w:r w:rsidRPr="00CA15D5">
        <w:rPr>
          <w:szCs w:val="24"/>
          <w:lang w:val="es-ES"/>
        </w:rPr>
        <w:t xml:space="preserve">Por </w:t>
      </w:r>
      <w:r w:rsidRPr="00CA15D5">
        <w:rPr>
          <w:b/>
          <w:bCs/>
          <w:szCs w:val="24"/>
          <w:lang w:val="es-ES"/>
        </w:rPr>
        <w:t>ADMIRAL INTERMEDIARY SERVICES, S.A.U.</w:t>
      </w:r>
      <w:r w:rsidRPr="00CA15D5">
        <w:rPr>
          <w:szCs w:val="24"/>
          <w:lang w:val="es-ES"/>
        </w:rPr>
        <w:t xml:space="preserve">,  </w:t>
      </w:r>
    </w:p>
    <w:p w14:paraId="3FEEC525" w14:textId="77777777" w:rsidR="00B87DA8" w:rsidRPr="00CA15D5" w:rsidRDefault="00B87DA8" w:rsidP="00CA15D5">
      <w:pPr>
        <w:ind w:left="1077"/>
        <w:jc w:val="both"/>
        <w:rPr>
          <w:szCs w:val="24"/>
          <w:lang w:val="es-ES"/>
        </w:rPr>
      </w:pPr>
    </w:p>
    <w:p w14:paraId="460E045E" w14:textId="77777777" w:rsidR="00B87DA8" w:rsidRPr="00CA15D5" w:rsidRDefault="00B87DA8" w:rsidP="00CA15D5">
      <w:pPr>
        <w:numPr>
          <w:ilvl w:val="2"/>
          <w:numId w:val="14"/>
        </w:numPr>
        <w:spacing w:after="160"/>
        <w:ind w:left="2703"/>
        <w:contextualSpacing/>
        <w:jc w:val="both"/>
        <w:rPr>
          <w:szCs w:val="24"/>
          <w:lang w:val="es-ES"/>
        </w:rPr>
      </w:pPr>
      <w:r w:rsidRPr="00CA15D5">
        <w:rPr>
          <w:szCs w:val="24"/>
          <w:lang w:val="es-ES"/>
        </w:rPr>
        <w:t xml:space="preserve">Costantino Moretti, </w:t>
      </w:r>
      <w:proofErr w:type="gramStart"/>
      <w:r w:rsidRPr="00CA15D5">
        <w:rPr>
          <w:i/>
          <w:iCs/>
          <w:szCs w:val="24"/>
          <w:lang w:val="es-ES"/>
        </w:rPr>
        <w:t>Presidente</w:t>
      </w:r>
      <w:proofErr w:type="gramEnd"/>
    </w:p>
    <w:p w14:paraId="22CA6184" w14:textId="77777777" w:rsidR="00B87DA8" w:rsidRPr="00CA15D5" w:rsidRDefault="00B87DA8" w:rsidP="00CA15D5">
      <w:pPr>
        <w:numPr>
          <w:ilvl w:val="2"/>
          <w:numId w:val="14"/>
        </w:numPr>
        <w:spacing w:after="160"/>
        <w:ind w:left="2703"/>
        <w:contextualSpacing/>
        <w:jc w:val="both"/>
        <w:rPr>
          <w:szCs w:val="24"/>
          <w:lang w:val="es-ES"/>
        </w:rPr>
      </w:pPr>
      <w:r w:rsidRPr="00CA15D5">
        <w:rPr>
          <w:szCs w:val="24"/>
          <w:lang w:val="es-ES"/>
        </w:rPr>
        <w:t xml:space="preserve">Sarah Elisabeth Harris, </w:t>
      </w:r>
      <w:proofErr w:type="gramStart"/>
      <w:r w:rsidRPr="00CA15D5">
        <w:rPr>
          <w:i/>
          <w:iCs/>
          <w:szCs w:val="24"/>
          <w:lang w:val="es-ES"/>
        </w:rPr>
        <w:t>Consejero</w:t>
      </w:r>
      <w:proofErr w:type="gramEnd"/>
    </w:p>
    <w:p w14:paraId="490BD6D9" w14:textId="77777777" w:rsidR="00B87DA8" w:rsidRPr="00CA15D5" w:rsidRDefault="00B87DA8" w:rsidP="00CA15D5">
      <w:pPr>
        <w:numPr>
          <w:ilvl w:val="2"/>
          <w:numId w:val="14"/>
        </w:numPr>
        <w:spacing w:after="160"/>
        <w:ind w:left="2703"/>
        <w:contextualSpacing/>
        <w:jc w:val="both"/>
        <w:rPr>
          <w:szCs w:val="24"/>
          <w:lang w:val="es-ES"/>
        </w:rPr>
      </w:pPr>
      <w:r w:rsidRPr="00CA15D5">
        <w:rPr>
          <w:szCs w:val="24"/>
          <w:lang w:val="es-ES"/>
        </w:rPr>
        <w:t xml:space="preserve">Paola Cagliani, </w:t>
      </w:r>
      <w:proofErr w:type="gramStart"/>
      <w:r w:rsidRPr="00CA15D5">
        <w:rPr>
          <w:i/>
          <w:iCs/>
          <w:szCs w:val="24"/>
          <w:lang w:val="es-ES"/>
        </w:rPr>
        <w:t>Consejero</w:t>
      </w:r>
      <w:proofErr w:type="gramEnd"/>
    </w:p>
    <w:p w14:paraId="663E3120" w14:textId="77777777" w:rsidR="00B87DA8" w:rsidRPr="00CA15D5" w:rsidRDefault="00B87DA8" w:rsidP="00CA15D5">
      <w:pPr>
        <w:ind w:left="2703"/>
        <w:contextualSpacing/>
        <w:jc w:val="both"/>
        <w:rPr>
          <w:szCs w:val="24"/>
          <w:lang w:val="es-ES"/>
        </w:rPr>
      </w:pPr>
    </w:p>
    <w:p w14:paraId="7AEF80D9" w14:textId="77777777" w:rsidR="00B87DA8" w:rsidRPr="00CA15D5" w:rsidRDefault="00B87DA8" w:rsidP="00CA15D5">
      <w:pPr>
        <w:numPr>
          <w:ilvl w:val="0"/>
          <w:numId w:val="13"/>
        </w:numPr>
        <w:spacing w:after="160"/>
        <w:ind w:left="1077" w:hanging="357"/>
        <w:jc w:val="both"/>
        <w:rPr>
          <w:szCs w:val="24"/>
          <w:lang w:val="es-ES"/>
        </w:rPr>
      </w:pPr>
      <w:r w:rsidRPr="00CA15D5">
        <w:rPr>
          <w:szCs w:val="24"/>
          <w:lang w:val="es-ES"/>
        </w:rPr>
        <w:t xml:space="preserve">Una vez suscrito el Proyecto de Fusión, los Consejos de Administración de las entidades que se fusionan de manera directa o a través de su accionista único, se abstendrán de realizar cualquier clase de acto o de concluir cualquier contrato que </w:t>
      </w:r>
      <w:r w:rsidRPr="00CA15D5">
        <w:rPr>
          <w:szCs w:val="24"/>
          <w:lang w:val="es-ES"/>
        </w:rPr>
        <w:lastRenderedPageBreak/>
        <w:t xml:space="preserve">pudiera comprometer la aprobación del Proyecto de Fusión, de conformidad con lo establecido en el artículo 39.2 LME. </w:t>
      </w:r>
    </w:p>
    <w:p w14:paraId="11EFB278" w14:textId="77777777" w:rsidR="00B87DA8" w:rsidRPr="00CA15D5" w:rsidRDefault="00B87DA8" w:rsidP="00CA15D5">
      <w:pPr>
        <w:numPr>
          <w:ilvl w:val="0"/>
          <w:numId w:val="18"/>
        </w:numPr>
        <w:spacing w:after="160"/>
        <w:ind w:left="426" w:hanging="426"/>
        <w:contextualSpacing/>
        <w:rPr>
          <w:b/>
          <w:bCs/>
          <w:szCs w:val="24"/>
          <w:lang w:val="es-ES"/>
        </w:rPr>
      </w:pPr>
      <w:r w:rsidRPr="00CA15D5">
        <w:rPr>
          <w:b/>
          <w:bCs/>
          <w:szCs w:val="24"/>
          <w:lang w:val="es-ES"/>
        </w:rPr>
        <w:t>ESTRUCTURA DE LA OPERACIÓN</w:t>
      </w:r>
    </w:p>
    <w:p w14:paraId="339E5699" w14:textId="77777777" w:rsidR="00B87DA8" w:rsidRPr="00CA15D5" w:rsidRDefault="00B87DA8" w:rsidP="00CA15D5">
      <w:pPr>
        <w:spacing w:after="160"/>
        <w:ind w:left="720"/>
        <w:contextualSpacing/>
        <w:rPr>
          <w:b/>
          <w:bCs/>
          <w:szCs w:val="24"/>
          <w:lang w:val="es-ES"/>
        </w:rPr>
      </w:pPr>
    </w:p>
    <w:p w14:paraId="5C6CFD7A" w14:textId="77777777" w:rsidR="00B87DA8" w:rsidRPr="00CA15D5" w:rsidRDefault="00B87DA8" w:rsidP="00CA15D5">
      <w:pPr>
        <w:numPr>
          <w:ilvl w:val="1"/>
          <w:numId w:val="19"/>
        </w:numPr>
        <w:spacing w:after="160"/>
        <w:ind w:left="426" w:hanging="426"/>
        <w:contextualSpacing/>
        <w:jc w:val="both"/>
        <w:rPr>
          <w:b/>
          <w:bCs/>
          <w:szCs w:val="24"/>
          <w:lang w:val="es-ES"/>
        </w:rPr>
      </w:pPr>
      <w:r w:rsidRPr="00CA15D5">
        <w:rPr>
          <w:b/>
          <w:bCs/>
          <w:szCs w:val="24"/>
          <w:lang w:val="es-ES"/>
        </w:rPr>
        <w:t xml:space="preserve">Presentación </w:t>
      </w:r>
    </w:p>
    <w:p w14:paraId="5C451F9D" w14:textId="77777777" w:rsidR="00B87DA8" w:rsidRPr="00CA15D5" w:rsidRDefault="00B87DA8" w:rsidP="00CA15D5">
      <w:pPr>
        <w:spacing w:after="160"/>
        <w:ind w:left="1080"/>
        <w:contextualSpacing/>
        <w:jc w:val="both"/>
        <w:rPr>
          <w:b/>
          <w:bCs/>
          <w:szCs w:val="24"/>
          <w:lang w:val="es-ES"/>
        </w:rPr>
      </w:pPr>
    </w:p>
    <w:p w14:paraId="62DAB242" w14:textId="77777777" w:rsidR="00B87DA8" w:rsidRPr="00CA15D5" w:rsidRDefault="00B87DA8" w:rsidP="00CA15D5">
      <w:pPr>
        <w:spacing w:after="160"/>
        <w:contextualSpacing/>
        <w:jc w:val="both"/>
        <w:rPr>
          <w:szCs w:val="24"/>
          <w:lang w:val="es-ES"/>
        </w:rPr>
      </w:pPr>
      <w:r w:rsidRPr="00CA15D5">
        <w:rPr>
          <w:szCs w:val="24"/>
          <w:lang w:val="es-ES"/>
        </w:rPr>
        <w:t xml:space="preserve">El artículo 91 LOSSEAR regula los supuestos excepcionales de modificaciones estructurales en los que intervenga una entidad aseguradora, estableciendo que, con carácter excepcional, el Ministro de Economía, Comercio y Empresa podrá autorizar la fusión de entidades aseguradoras en supuestos distintos a los previstos reglamentariamente cuando, atendiendo a las circunstancias singulares que concurran en la entidad aseguradora que lo solicite, se obtenga un desarrollo más adecuado de la actividad por la entidad aseguradora afectada, siempre que ello no menoscabe sus garantías financieras, los derechos de los asegurados y la transparencia en la asunción de las obligaciones derivadas de los contratos de seguro. </w:t>
      </w:r>
    </w:p>
    <w:p w14:paraId="7AF58137" w14:textId="77777777" w:rsidR="00B87DA8" w:rsidRPr="00CA15D5" w:rsidRDefault="00B87DA8" w:rsidP="00CA15D5">
      <w:pPr>
        <w:spacing w:after="160"/>
        <w:ind w:left="1080"/>
        <w:contextualSpacing/>
        <w:jc w:val="both"/>
        <w:rPr>
          <w:szCs w:val="24"/>
          <w:lang w:val="es-ES"/>
        </w:rPr>
      </w:pPr>
    </w:p>
    <w:p w14:paraId="376B02C2" w14:textId="77777777" w:rsidR="00B87DA8" w:rsidRPr="00CA15D5" w:rsidRDefault="00B87DA8" w:rsidP="00CA15D5">
      <w:pPr>
        <w:spacing w:after="160"/>
        <w:contextualSpacing/>
        <w:jc w:val="both"/>
        <w:rPr>
          <w:szCs w:val="24"/>
          <w:lang w:val="es-ES"/>
        </w:rPr>
      </w:pPr>
      <w:r w:rsidRPr="00CA15D5">
        <w:rPr>
          <w:szCs w:val="24"/>
          <w:lang w:val="es-ES"/>
        </w:rPr>
        <w:t>El presente Proyecto de Fusión se circunscribe al supuesto previsto en el artículo 91 LOSSEAR indicado (en relación con el artículo 109.4 ROSSEAR), teniendo en cuenta la naturaleza jurídica de la Sociedad Absorbente (entidad aseguradora) y de la Sociedad Absorbida (agente de seguros vinculado), ambas participadas por el mismo accionista único, tal y como se indica en este documento.</w:t>
      </w:r>
    </w:p>
    <w:p w14:paraId="1F5595FC" w14:textId="77777777" w:rsidR="00B87DA8" w:rsidRPr="00CA15D5" w:rsidRDefault="00B87DA8" w:rsidP="00CA15D5">
      <w:pPr>
        <w:spacing w:after="160"/>
        <w:ind w:left="1080"/>
        <w:contextualSpacing/>
        <w:jc w:val="both"/>
        <w:rPr>
          <w:szCs w:val="24"/>
          <w:lang w:val="es-ES"/>
        </w:rPr>
      </w:pPr>
    </w:p>
    <w:p w14:paraId="31679F4B" w14:textId="77777777" w:rsidR="00B87DA8" w:rsidRPr="00CA15D5" w:rsidRDefault="00B87DA8" w:rsidP="00CA15D5">
      <w:pPr>
        <w:spacing w:after="160"/>
        <w:contextualSpacing/>
        <w:jc w:val="both"/>
        <w:rPr>
          <w:szCs w:val="24"/>
          <w:lang w:val="es-ES"/>
        </w:rPr>
      </w:pPr>
      <w:r w:rsidRPr="00CA15D5">
        <w:rPr>
          <w:szCs w:val="24"/>
          <w:lang w:val="es-ES"/>
        </w:rPr>
        <w:t>Atendiendo al hecho de que las actividades llevadas a cabo por ambas sociedades son compatibles, la Fusión proyectada se enmarca en el contexto de la reorganización y simplificación de la estructura del grupo empresarial al que pertenecen las Sociedades Participantes en la Fusión (en adelante, el “</w:t>
      </w:r>
      <w:r w:rsidRPr="00CA15D5">
        <w:rPr>
          <w:b/>
          <w:bCs/>
          <w:szCs w:val="24"/>
          <w:lang w:val="es-ES"/>
        </w:rPr>
        <w:t>Grupo</w:t>
      </w:r>
      <w:r w:rsidRPr="00CA15D5">
        <w:rPr>
          <w:szCs w:val="24"/>
          <w:lang w:val="es-ES"/>
        </w:rPr>
        <w:t>” o “</w:t>
      </w:r>
      <w:r w:rsidRPr="00CA15D5">
        <w:rPr>
          <w:b/>
          <w:bCs/>
          <w:szCs w:val="24"/>
          <w:lang w:val="es-ES"/>
        </w:rPr>
        <w:t>ADMIRAL GROUP</w:t>
      </w:r>
      <w:r w:rsidRPr="00CA15D5">
        <w:rPr>
          <w:szCs w:val="24"/>
          <w:lang w:val="es-ES"/>
        </w:rPr>
        <w:t>”), con el objeto de dotarla de una mayor eficiencia, simplificando la estructura societaria del Grupo y corrigiendo y evitando las duplicidades existentes en los modelos de negocios desarrollados por las Sociedades Participantes en la Fusión.</w:t>
      </w:r>
    </w:p>
    <w:p w14:paraId="6F56C34E" w14:textId="77777777" w:rsidR="00B87DA8" w:rsidRPr="00CA15D5" w:rsidRDefault="00B87DA8" w:rsidP="00CA15D5">
      <w:pPr>
        <w:spacing w:after="160"/>
        <w:ind w:left="1080"/>
        <w:contextualSpacing/>
        <w:jc w:val="both"/>
        <w:rPr>
          <w:szCs w:val="24"/>
          <w:lang w:val="es-ES"/>
        </w:rPr>
      </w:pPr>
    </w:p>
    <w:p w14:paraId="6E8F76FA" w14:textId="77777777" w:rsidR="00B87DA8" w:rsidRPr="00CA15D5" w:rsidRDefault="00B87DA8" w:rsidP="00CA15D5">
      <w:pPr>
        <w:spacing w:after="160"/>
        <w:contextualSpacing/>
        <w:jc w:val="both"/>
        <w:rPr>
          <w:szCs w:val="24"/>
          <w:lang w:val="es-ES"/>
        </w:rPr>
      </w:pPr>
      <w:r w:rsidRPr="00CA15D5">
        <w:rPr>
          <w:szCs w:val="24"/>
          <w:lang w:val="es-ES"/>
        </w:rPr>
        <w:t>Sin perjuicio de lo indicado en la Sección 3 del Proyecto de Fusión, con la presente Fusión se pretende obtener, entre otros beneficios:</w:t>
      </w:r>
    </w:p>
    <w:p w14:paraId="10D4478A" w14:textId="77777777" w:rsidR="00B87DA8" w:rsidRPr="00CA15D5" w:rsidRDefault="00B87DA8" w:rsidP="00CA15D5">
      <w:pPr>
        <w:spacing w:after="160"/>
        <w:ind w:left="1080"/>
        <w:contextualSpacing/>
        <w:jc w:val="both"/>
        <w:rPr>
          <w:szCs w:val="24"/>
          <w:lang w:val="es-ES"/>
        </w:rPr>
      </w:pPr>
    </w:p>
    <w:p w14:paraId="3AC93035" w14:textId="77777777" w:rsidR="00B87DA8" w:rsidRPr="00CA15D5" w:rsidRDefault="00B87DA8" w:rsidP="00CA15D5">
      <w:pPr>
        <w:numPr>
          <w:ilvl w:val="1"/>
          <w:numId w:val="15"/>
        </w:numPr>
        <w:spacing w:after="160"/>
        <w:ind w:hanging="164"/>
        <w:contextualSpacing/>
        <w:jc w:val="both"/>
        <w:rPr>
          <w:szCs w:val="24"/>
          <w:lang w:val="es-ES"/>
        </w:rPr>
      </w:pPr>
      <w:r w:rsidRPr="00CA15D5">
        <w:rPr>
          <w:szCs w:val="24"/>
          <w:lang w:val="es-ES"/>
        </w:rPr>
        <w:t>Una disminución de los costes de operación de las Sociedades Participantes en la Fusión, así como la reducción de la complejidad en la gestión de negocio y la disminución de la carga administrativa como consecuencia de una mayor concentración empresarial posibilitando así, una mayor calidad organizativa y una mayor efectividad en la ejecución del negocio.</w:t>
      </w:r>
    </w:p>
    <w:p w14:paraId="534B2823" w14:textId="77777777" w:rsidR="00B87DA8" w:rsidRPr="00CA15D5" w:rsidRDefault="00B87DA8" w:rsidP="00CA15D5">
      <w:pPr>
        <w:spacing w:after="160"/>
        <w:ind w:left="1440"/>
        <w:contextualSpacing/>
        <w:jc w:val="both"/>
        <w:rPr>
          <w:szCs w:val="24"/>
          <w:lang w:val="es-ES"/>
        </w:rPr>
      </w:pPr>
    </w:p>
    <w:p w14:paraId="054F9A1D" w14:textId="77777777" w:rsidR="00B87DA8" w:rsidRPr="00CA15D5" w:rsidRDefault="00B87DA8" w:rsidP="00CA15D5">
      <w:pPr>
        <w:numPr>
          <w:ilvl w:val="1"/>
          <w:numId w:val="15"/>
        </w:numPr>
        <w:spacing w:after="160"/>
        <w:ind w:hanging="164"/>
        <w:contextualSpacing/>
        <w:jc w:val="both"/>
        <w:rPr>
          <w:szCs w:val="24"/>
          <w:lang w:val="es-ES"/>
        </w:rPr>
      </w:pPr>
      <w:r w:rsidRPr="00CA15D5">
        <w:rPr>
          <w:szCs w:val="24"/>
          <w:lang w:val="es-ES"/>
        </w:rPr>
        <w:t xml:space="preserve">Racionalización y simplificación de la estructura societaria del Grupo, haciéndola más eficiente y adaptada a la necesidad empresarial actual, evitando de esta manera multiplicar costes de gestión y administración derivados, entre </w:t>
      </w:r>
      <w:r w:rsidRPr="00CA15D5">
        <w:rPr>
          <w:szCs w:val="24"/>
          <w:lang w:val="es-ES"/>
        </w:rPr>
        <w:lastRenderedPageBreak/>
        <w:t>otros, del cumplimiento de las obligaciones mercantiles, regulatorias y fiscales; y</w:t>
      </w:r>
    </w:p>
    <w:p w14:paraId="59D80461" w14:textId="77777777" w:rsidR="00B87DA8" w:rsidRPr="00CA15D5" w:rsidRDefault="00B87DA8" w:rsidP="00CA15D5">
      <w:pPr>
        <w:spacing w:after="160"/>
        <w:ind w:left="1440"/>
        <w:contextualSpacing/>
        <w:jc w:val="both"/>
        <w:rPr>
          <w:szCs w:val="24"/>
          <w:lang w:val="es-ES"/>
        </w:rPr>
      </w:pPr>
    </w:p>
    <w:p w14:paraId="4F2CDFC5" w14:textId="77777777" w:rsidR="00B87DA8" w:rsidRPr="00CA15D5" w:rsidRDefault="00B87DA8" w:rsidP="00CA15D5">
      <w:pPr>
        <w:numPr>
          <w:ilvl w:val="1"/>
          <w:numId w:val="15"/>
        </w:numPr>
        <w:spacing w:after="160"/>
        <w:ind w:hanging="164"/>
        <w:contextualSpacing/>
        <w:jc w:val="both"/>
        <w:rPr>
          <w:szCs w:val="24"/>
          <w:lang w:val="es-ES"/>
        </w:rPr>
      </w:pPr>
      <w:r w:rsidRPr="00CA15D5">
        <w:rPr>
          <w:szCs w:val="24"/>
          <w:lang w:val="es-ES"/>
        </w:rPr>
        <w:t>Alcanzar un modelo organizativo único, evitando duplicidades, así como homogeneizar y optimizar los procesos de trabajo.</w:t>
      </w:r>
    </w:p>
    <w:p w14:paraId="07915CF0" w14:textId="77777777" w:rsidR="00B87DA8" w:rsidRPr="00CA15D5" w:rsidRDefault="00B87DA8" w:rsidP="00CA15D5">
      <w:pPr>
        <w:spacing w:after="160"/>
        <w:ind w:left="1080"/>
        <w:contextualSpacing/>
        <w:jc w:val="both"/>
        <w:rPr>
          <w:szCs w:val="24"/>
          <w:lang w:val="es-ES"/>
        </w:rPr>
      </w:pPr>
    </w:p>
    <w:p w14:paraId="6EA72AE4" w14:textId="77777777" w:rsidR="00B87DA8" w:rsidRPr="00CA15D5" w:rsidRDefault="00B87DA8" w:rsidP="00CA15D5">
      <w:pPr>
        <w:spacing w:after="160"/>
        <w:contextualSpacing/>
        <w:jc w:val="both"/>
        <w:rPr>
          <w:szCs w:val="24"/>
          <w:lang w:val="es-ES"/>
        </w:rPr>
      </w:pPr>
      <w:r w:rsidRPr="00CA15D5">
        <w:rPr>
          <w:szCs w:val="24"/>
          <w:lang w:val="es-ES"/>
        </w:rPr>
        <w:t>Teniendo en cuenta lo anteriormente expuesto, los órganos de administración de las Sociedades Participantes en la Fusión han formulado y suscrito el presente Proyecto de Fusión, de conformidad con lo dispuesto en los artículos 4 y 40 de la LME, el cual contiene la información que a continuación se detalla.</w:t>
      </w:r>
    </w:p>
    <w:p w14:paraId="1E256684" w14:textId="77777777" w:rsidR="00B87DA8" w:rsidRPr="00CA15D5" w:rsidRDefault="00B87DA8" w:rsidP="00CA15D5">
      <w:pPr>
        <w:spacing w:after="160"/>
        <w:ind w:left="1080"/>
        <w:contextualSpacing/>
        <w:jc w:val="both"/>
        <w:rPr>
          <w:szCs w:val="24"/>
          <w:lang w:val="es-ES"/>
        </w:rPr>
      </w:pPr>
    </w:p>
    <w:p w14:paraId="1BDA88D5" w14:textId="77777777" w:rsidR="00B87DA8" w:rsidRPr="00CA15D5" w:rsidRDefault="00B87DA8" w:rsidP="00CA15D5">
      <w:pPr>
        <w:numPr>
          <w:ilvl w:val="1"/>
          <w:numId w:val="19"/>
        </w:numPr>
        <w:spacing w:after="160"/>
        <w:ind w:left="426" w:hanging="426"/>
        <w:contextualSpacing/>
        <w:jc w:val="both"/>
        <w:rPr>
          <w:b/>
          <w:bCs/>
          <w:szCs w:val="24"/>
          <w:lang w:val="es-ES"/>
        </w:rPr>
      </w:pPr>
      <w:r w:rsidRPr="00CA15D5">
        <w:rPr>
          <w:b/>
          <w:bCs/>
          <w:szCs w:val="24"/>
          <w:lang w:val="es-ES"/>
        </w:rPr>
        <w:t xml:space="preserve">Descripción de la Fusión </w:t>
      </w:r>
    </w:p>
    <w:p w14:paraId="10AFE262" w14:textId="77777777" w:rsidR="00B87DA8" w:rsidRDefault="00B87DA8" w:rsidP="00B87DA8">
      <w:pPr>
        <w:spacing w:after="160"/>
        <w:contextualSpacing/>
        <w:jc w:val="both"/>
        <w:rPr>
          <w:szCs w:val="24"/>
          <w:lang w:val="es-ES"/>
        </w:rPr>
      </w:pPr>
    </w:p>
    <w:p w14:paraId="29C013AB" w14:textId="24F2C658" w:rsidR="00B87DA8" w:rsidRPr="00CA15D5" w:rsidRDefault="00B87DA8" w:rsidP="00CA15D5">
      <w:pPr>
        <w:spacing w:after="160"/>
        <w:contextualSpacing/>
        <w:jc w:val="both"/>
        <w:rPr>
          <w:szCs w:val="24"/>
          <w:lang w:val="es-ES"/>
        </w:rPr>
      </w:pPr>
      <w:r w:rsidRPr="00CA15D5">
        <w:rPr>
          <w:szCs w:val="24"/>
          <w:lang w:val="es-ES"/>
        </w:rPr>
        <w:t xml:space="preserve">La operación propuesta es una fusión por absorción en virtud de la cual la Sociedad Absorbida, AIS, se integrará en la Sociedad Absorbente, AECS, mediante su extinción sin liquidación y la transmisión en bloque de su patrimonio a favor de la Sociedad Absorbente, que adquirirá y se subrogará, por sucesión universal, en la totalidad de los derechos y obligaciones que componen el patrimonio de la Sociedad Absorbida, de conformidad con el detalle de la Sección 18 del presente Proyecto de Fusión. </w:t>
      </w:r>
    </w:p>
    <w:p w14:paraId="22D5D67C" w14:textId="77777777" w:rsidR="00B87DA8" w:rsidRDefault="00B87DA8" w:rsidP="00B87DA8">
      <w:pPr>
        <w:spacing w:after="160"/>
        <w:contextualSpacing/>
        <w:jc w:val="both"/>
        <w:rPr>
          <w:szCs w:val="24"/>
          <w:lang w:val="es-ES"/>
        </w:rPr>
      </w:pPr>
    </w:p>
    <w:p w14:paraId="70175920" w14:textId="0CC5FF0A" w:rsidR="00B87DA8" w:rsidRPr="00CA15D5" w:rsidRDefault="00B87DA8" w:rsidP="00CA15D5">
      <w:pPr>
        <w:spacing w:after="160"/>
        <w:contextualSpacing/>
        <w:jc w:val="both"/>
        <w:rPr>
          <w:szCs w:val="24"/>
          <w:lang w:val="es-ES"/>
        </w:rPr>
      </w:pPr>
      <w:r w:rsidRPr="00CA15D5">
        <w:rPr>
          <w:b/>
          <w:bCs/>
          <w:szCs w:val="24"/>
          <w:lang w:val="es-ES"/>
        </w:rPr>
        <w:t>Se trata de una operación de fusión por absorción, considerada un supuesto asimilado a la absorción de sociedades íntegramente participadas, sometida al régimen del artículo 56.1 LME, resultando de aplicación el régimen previsto en los artículos 53 y 55 de la LME, dado que la Sociedad Absorbente y la Sociedad Absorbida son sociedades íntegramente participadas, de forma directa, por el mismo accionista único, ADMIRAL GROUP PLC</w:t>
      </w:r>
      <w:r w:rsidRPr="00CA15D5">
        <w:rPr>
          <w:szCs w:val="24"/>
          <w:lang w:val="es-ES"/>
        </w:rPr>
        <w:t xml:space="preserve">. </w:t>
      </w:r>
    </w:p>
    <w:p w14:paraId="5E0EE0AA" w14:textId="77777777" w:rsidR="00B87DA8" w:rsidRDefault="00B87DA8" w:rsidP="00B87DA8">
      <w:pPr>
        <w:spacing w:after="160"/>
        <w:contextualSpacing/>
        <w:jc w:val="both"/>
        <w:rPr>
          <w:szCs w:val="24"/>
          <w:lang w:val="es-ES"/>
        </w:rPr>
      </w:pPr>
    </w:p>
    <w:p w14:paraId="372BE0AA" w14:textId="5DE2BA38" w:rsidR="00B87DA8" w:rsidRPr="00CA15D5" w:rsidRDefault="00B87DA8" w:rsidP="00CA15D5">
      <w:pPr>
        <w:spacing w:after="160"/>
        <w:contextualSpacing/>
        <w:jc w:val="both"/>
        <w:rPr>
          <w:szCs w:val="24"/>
          <w:lang w:val="es-ES"/>
        </w:rPr>
      </w:pPr>
      <w:r w:rsidRPr="00CA15D5">
        <w:rPr>
          <w:szCs w:val="24"/>
          <w:lang w:val="es-ES"/>
        </w:rPr>
        <w:t xml:space="preserve">En consecuencia, </w:t>
      </w:r>
      <w:r w:rsidRPr="00CA15D5">
        <w:rPr>
          <w:szCs w:val="24"/>
          <w:u w:val="single"/>
          <w:lang w:val="es-ES"/>
        </w:rPr>
        <w:t>no resulta necesaria para la Fusión</w:t>
      </w:r>
      <w:r w:rsidRPr="00CA15D5">
        <w:rPr>
          <w:szCs w:val="24"/>
          <w:lang w:val="es-ES"/>
        </w:rPr>
        <w:t xml:space="preserve">: </w:t>
      </w:r>
    </w:p>
    <w:p w14:paraId="2956B2A0" w14:textId="77777777" w:rsidR="00B87DA8" w:rsidRPr="00CA15D5" w:rsidRDefault="00B87DA8" w:rsidP="00CA15D5">
      <w:pPr>
        <w:spacing w:after="160"/>
        <w:ind w:left="1080"/>
        <w:contextualSpacing/>
        <w:jc w:val="both"/>
        <w:rPr>
          <w:szCs w:val="24"/>
          <w:lang w:val="es-ES"/>
        </w:rPr>
      </w:pPr>
    </w:p>
    <w:p w14:paraId="7E0F67EF" w14:textId="77777777" w:rsidR="00B87DA8" w:rsidRPr="00CA15D5" w:rsidRDefault="00B87DA8" w:rsidP="00CA15D5">
      <w:pPr>
        <w:numPr>
          <w:ilvl w:val="0"/>
          <w:numId w:val="17"/>
        </w:numPr>
        <w:spacing w:after="160"/>
        <w:ind w:left="1418" w:hanging="142"/>
        <w:contextualSpacing/>
        <w:jc w:val="both"/>
        <w:rPr>
          <w:szCs w:val="24"/>
          <w:lang w:val="es-ES"/>
        </w:rPr>
      </w:pPr>
      <w:r w:rsidRPr="00CA15D5">
        <w:rPr>
          <w:szCs w:val="24"/>
          <w:lang w:val="es-ES"/>
        </w:rPr>
        <w:t xml:space="preserve">Con arreglo a lo dispuesto en el artículo 9.1 LME: (a) la publicación o el depósito previo de los documentos exigidos por la Ley; (b) el anuncio sobre la posibilidad de formular observaciones. </w:t>
      </w:r>
    </w:p>
    <w:p w14:paraId="3013246D" w14:textId="77777777" w:rsidR="00B87DA8" w:rsidRPr="00CA15D5" w:rsidRDefault="00B87DA8" w:rsidP="00CA15D5">
      <w:pPr>
        <w:spacing w:after="160"/>
        <w:ind w:left="1418" w:hanging="142"/>
        <w:contextualSpacing/>
        <w:jc w:val="both"/>
        <w:rPr>
          <w:szCs w:val="24"/>
          <w:lang w:val="es-ES"/>
        </w:rPr>
      </w:pPr>
    </w:p>
    <w:p w14:paraId="696932F3" w14:textId="77777777" w:rsidR="00B87DA8" w:rsidRPr="00CA15D5" w:rsidRDefault="00B87DA8" w:rsidP="00CA15D5">
      <w:pPr>
        <w:numPr>
          <w:ilvl w:val="0"/>
          <w:numId w:val="17"/>
        </w:numPr>
        <w:spacing w:after="160"/>
        <w:ind w:left="1418" w:hanging="142"/>
        <w:contextualSpacing/>
        <w:jc w:val="both"/>
        <w:rPr>
          <w:szCs w:val="24"/>
          <w:lang w:val="es-ES"/>
        </w:rPr>
      </w:pPr>
      <w:r w:rsidRPr="00CA15D5">
        <w:rPr>
          <w:szCs w:val="24"/>
          <w:lang w:val="es-ES"/>
        </w:rPr>
        <w:t>Con arreglo a lo dispuesto en el artículo 53.1 LME, la Fusión podrá realizarse sin necesidad de que concurran los siguientes requisitos:</w:t>
      </w:r>
    </w:p>
    <w:p w14:paraId="03D48DD1" w14:textId="77777777" w:rsidR="00B87DA8" w:rsidRPr="00CA15D5" w:rsidRDefault="00B87DA8" w:rsidP="00CA15D5">
      <w:pPr>
        <w:spacing w:after="160"/>
        <w:ind w:left="720"/>
        <w:contextualSpacing/>
        <w:rPr>
          <w:szCs w:val="24"/>
          <w:lang w:val="es-ES"/>
        </w:rPr>
      </w:pPr>
    </w:p>
    <w:p w14:paraId="0C512FDE" w14:textId="77777777" w:rsidR="00B87DA8" w:rsidRPr="00CA15D5" w:rsidRDefault="00B87DA8" w:rsidP="00CA15D5">
      <w:pPr>
        <w:numPr>
          <w:ilvl w:val="4"/>
          <w:numId w:val="21"/>
        </w:numPr>
        <w:spacing w:after="160"/>
        <w:ind w:left="1843"/>
        <w:contextualSpacing/>
        <w:jc w:val="both"/>
        <w:rPr>
          <w:szCs w:val="24"/>
          <w:lang w:val="es-ES"/>
        </w:rPr>
      </w:pPr>
      <w:r w:rsidRPr="00CA15D5">
        <w:rPr>
          <w:szCs w:val="24"/>
          <w:lang w:val="es-ES"/>
        </w:rPr>
        <w:t xml:space="preserve">La inclusión en el Proyecto de Fusión de las menciones de los apartados 3º, 5º, 7º y 8º del artículo 40 LME, esto es: al tipo de canje de las acciones, a las modalidades de entrega de las acciones de la sociedad resultante a los accionistas de la Sociedad Absorbida, la fecha de participación en las ganancias sociales de la sociedad resultante o a cualesquiera peculiaridades relativas a este derecho; la información sobre la valoración del activo y </w:t>
      </w:r>
      <w:r w:rsidRPr="00CA15D5">
        <w:rPr>
          <w:szCs w:val="24"/>
          <w:lang w:val="es-ES"/>
        </w:rPr>
        <w:lastRenderedPageBreak/>
        <w:t xml:space="preserve">pasivo del patrimonio de cada sociedad que se transmite a la sociedad resultante; y las fechas de las cuentas de las sociedades que se fusionan; </w:t>
      </w:r>
    </w:p>
    <w:p w14:paraId="21A6202E" w14:textId="77777777" w:rsidR="00B87DA8" w:rsidRPr="00CA15D5" w:rsidRDefault="00B87DA8" w:rsidP="00CA15D5">
      <w:pPr>
        <w:spacing w:after="160"/>
        <w:ind w:left="1843"/>
        <w:contextualSpacing/>
        <w:jc w:val="both"/>
        <w:rPr>
          <w:szCs w:val="24"/>
          <w:lang w:val="es-ES"/>
        </w:rPr>
      </w:pPr>
    </w:p>
    <w:p w14:paraId="7D2D57F4" w14:textId="77777777" w:rsidR="00B87DA8" w:rsidRPr="00CA15D5" w:rsidRDefault="00B87DA8" w:rsidP="00CA15D5">
      <w:pPr>
        <w:numPr>
          <w:ilvl w:val="4"/>
          <w:numId w:val="21"/>
        </w:numPr>
        <w:spacing w:after="160"/>
        <w:ind w:left="1843"/>
        <w:contextualSpacing/>
        <w:jc w:val="both"/>
        <w:rPr>
          <w:szCs w:val="24"/>
          <w:lang w:val="es-ES"/>
        </w:rPr>
      </w:pPr>
      <w:r w:rsidRPr="00CA15D5">
        <w:rPr>
          <w:szCs w:val="24"/>
          <w:lang w:val="es-ES"/>
        </w:rPr>
        <w:t>Los informes de los administradores y expertos sobre el Proyecto de Fusión. No obstante, sí se precisa el informe de administradores, en su sección relativa a los trabajadores, toda vez que las Sociedades Participantes en la Fusión, cuentan con empleados;</w:t>
      </w:r>
    </w:p>
    <w:p w14:paraId="4F942446" w14:textId="77777777" w:rsidR="00B87DA8" w:rsidRPr="00CA15D5" w:rsidRDefault="00B87DA8" w:rsidP="00CA15D5">
      <w:pPr>
        <w:spacing w:after="160"/>
        <w:ind w:left="1843"/>
        <w:contextualSpacing/>
        <w:jc w:val="both"/>
        <w:rPr>
          <w:szCs w:val="24"/>
          <w:lang w:val="es-ES"/>
        </w:rPr>
      </w:pPr>
    </w:p>
    <w:p w14:paraId="01407C5B" w14:textId="77777777" w:rsidR="00B87DA8" w:rsidRPr="00CA15D5" w:rsidRDefault="00B87DA8" w:rsidP="00CA15D5">
      <w:pPr>
        <w:numPr>
          <w:ilvl w:val="4"/>
          <w:numId w:val="21"/>
        </w:numPr>
        <w:spacing w:after="160"/>
        <w:ind w:left="1843"/>
        <w:contextualSpacing/>
        <w:jc w:val="both"/>
        <w:rPr>
          <w:szCs w:val="24"/>
          <w:lang w:val="es-ES"/>
        </w:rPr>
      </w:pPr>
      <w:r w:rsidRPr="00CA15D5">
        <w:rPr>
          <w:szCs w:val="24"/>
          <w:lang w:val="es-ES"/>
        </w:rPr>
        <w:t xml:space="preserve">El aumento del capital social de la Sociedad Absorbente; y </w:t>
      </w:r>
    </w:p>
    <w:p w14:paraId="21EF6A41" w14:textId="77777777" w:rsidR="00B87DA8" w:rsidRPr="00CA15D5" w:rsidRDefault="00B87DA8" w:rsidP="00CA15D5">
      <w:pPr>
        <w:spacing w:after="160"/>
        <w:ind w:left="1843"/>
        <w:contextualSpacing/>
        <w:jc w:val="both"/>
        <w:rPr>
          <w:szCs w:val="24"/>
          <w:lang w:val="es-ES"/>
        </w:rPr>
      </w:pPr>
    </w:p>
    <w:p w14:paraId="78CC061E" w14:textId="77777777" w:rsidR="00B87DA8" w:rsidRPr="00CA15D5" w:rsidRDefault="00B87DA8" w:rsidP="00CA15D5">
      <w:pPr>
        <w:numPr>
          <w:ilvl w:val="4"/>
          <w:numId w:val="21"/>
        </w:numPr>
        <w:spacing w:after="160"/>
        <w:ind w:left="1843"/>
        <w:contextualSpacing/>
        <w:jc w:val="both"/>
        <w:rPr>
          <w:szCs w:val="24"/>
          <w:lang w:val="es-ES"/>
        </w:rPr>
      </w:pPr>
      <w:r w:rsidRPr="00CA15D5">
        <w:rPr>
          <w:szCs w:val="24"/>
          <w:lang w:val="es-ES"/>
        </w:rPr>
        <w:t xml:space="preserve">La aprobación de la Fusión por el accionista único de la Sociedad Absorbida. </w:t>
      </w:r>
    </w:p>
    <w:p w14:paraId="4613B5AE" w14:textId="77777777" w:rsidR="00B87DA8" w:rsidRPr="00CA15D5" w:rsidRDefault="00B87DA8" w:rsidP="00CA15D5">
      <w:pPr>
        <w:spacing w:after="160"/>
        <w:ind w:left="720" w:hanging="164"/>
        <w:contextualSpacing/>
        <w:rPr>
          <w:szCs w:val="24"/>
          <w:lang w:val="es-ES"/>
        </w:rPr>
      </w:pPr>
    </w:p>
    <w:p w14:paraId="7D2DB158" w14:textId="77777777" w:rsidR="00B87DA8" w:rsidRPr="00CA15D5" w:rsidRDefault="00B87DA8" w:rsidP="00CA15D5">
      <w:pPr>
        <w:numPr>
          <w:ilvl w:val="0"/>
          <w:numId w:val="17"/>
        </w:numPr>
        <w:spacing w:after="160"/>
        <w:ind w:left="1418" w:hanging="142"/>
        <w:contextualSpacing/>
        <w:jc w:val="both"/>
        <w:rPr>
          <w:szCs w:val="24"/>
          <w:lang w:val="es-ES"/>
        </w:rPr>
      </w:pPr>
      <w:r w:rsidRPr="00CA15D5">
        <w:rPr>
          <w:szCs w:val="24"/>
          <w:lang w:val="es-ES"/>
        </w:rPr>
        <w:t xml:space="preserve">Con arreglo a lo dispuesto en el artículo 55 LME, en la medida en que AECS y AIS son sociedades que se encuentran íntegramente participadas por el mismo accionista único, y siempre que con un mes de antelación como mínimo a la fecha prevista para la formalización de la Fusión, esto es, en la elevación a público de los acuerdos sociales, se hubiese cumplido con los requisitos de publicidad e información contemplados en los artículos 55 y 7 LME, no resultará necesaria la aprobación de la Fusión por parte del accionista único de la Sociedad Absorbente. </w:t>
      </w:r>
    </w:p>
    <w:p w14:paraId="5CF974B4" w14:textId="77777777" w:rsidR="00B87DA8" w:rsidRPr="00CA15D5" w:rsidRDefault="00B87DA8" w:rsidP="00CA15D5">
      <w:pPr>
        <w:spacing w:after="160"/>
        <w:ind w:left="1080"/>
        <w:contextualSpacing/>
        <w:jc w:val="both"/>
        <w:rPr>
          <w:szCs w:val="24"/>
          <w:lang w:val="es-ES"/>
        </w:rPr>
      </w:pPr>
    </w:p>
    <w:p w14:paraId="68FF016B" w14:textId="77777777" w:rsidR="00B87DA8" w:rsidRPr="00CA15D5" w:rsidRDefault="00B87DA8" w:rsidP="00CA15D5">
      <w:pPr>
        <w:numPr>
          <w:ilvl w:val="1"/>
          <w:numId w:val="19"/>
        </w:numPr>
        <w:spacing w:after="160"/>
        <w:ind w:left="426" w:hanging="426"/>
        <w:contextualSpacing/>
        <w:jc w:val="both"/>
        <w:rPr>
          <w:b/>
          <w:bCs/>
          <w:szCs w:val="24"/>
          <w:lang w:val="es-ES"/>
        </w:rPr>
      </w:pPr>
      <w:r w:rsidRPr="00CA15D5">
        <w:rPr>
          <w:b/>
          <w:bCs/>
          <w:szCs w:val="24"/>
          <w:lang w:val="es-ES"/>
        </w:rPr>
        <w:t>Necesidad de autorizaciones regulatorias</w:t>
      </w:r>
    </w:p>
    <w:p w14:paraId="19E65285" w14:textId="77777777" w:rsidR="00B87DA8" w:rsidRPr="00CA15D5" w:rsidRDefault="00B87DA8" w:rsidP="00CA15D5">
      <w:pPr>
        <w:spacing w:after="160"/>
        <w:ind w:left="1080"/>
        <w:contextualSpacing/>
        <w:jc w:val="both"/>
        <w:rPr>
          <w:b/>
          <w:bCs/>
          <w:szCs w:val="24"/>
          <w:lang w:val="es-ES"/>
        </w:rPr>
      </w:pPr>
    </w:p>
    <w:p w14:paraId="33F87A54" w14:textId="77777777" w:rsidR="00B87DA8" w:rsidRPr="00CA15D5" w:rsidRDefault="00B87DA8" w:rsidP="00CA15D5">
      <w:pPr>
        <w:spacing w:after="160"/>
        <w:contextualSpacing/>
        <w:jc w:val="both"/>
        <w:rPr>
          <w:szCs w:val="24"/>
          <w:lang w:val="es-ES"/>
        </w:rPr>
      </w:pPr>
      <w:r w:rsidRPr="00CA15D5">
        <w:rPr>
          <w:szCs w:val="24"/>
          <w:lang w:val="es-ES"/>
        </w:rPr>
        <w:t xml:space="preserve">Conforme a lo dispuesto en el artículo 91 LOSSEAR, corresponde al </w:t>
      </w:r>
      <w:proofErr w:type="gramStart"/>
      <w:r w:rsidRPr="00CA15D5">
        <w:rPr>
          <w:szCs w:val="24"/>
          <w:lang w:val="es-ES"/>
        </w:rPr>
        <w:t>Ministro</w:t>
      </w:r>
      <w:proofErr w:type="gramEnd"/>
      <w:r w:rsidRPr="00CA15D5">
        <w:rPr>
          <w:szCs w:val="24"/>
          <w:lang w:val="es-ES"/>
        </w:rPr>
        <w:t xml:space="preserve"> de Economía, Comercio y Empresa autorizar la Fusión, para lo cual se va a tramitar la oportuna solicitud una vez redactado y aprobado el Proyecto de Fusión por los respectivos Consejos de Administración de las Sociedades Participantes en la Fusión, aportando a la Dirección General de Seguros y Fondos de Pensiones la información y documentación requerida en el artículo 110 ROSSEAR.</w:t>
      </w:r>
    </w:p>
    <w:p w14:paraId="5E79C354" w14:textId="77777777" w:rsidR="00B87DA8" w:rsidRPr="00CA15D5" w:rsidRDefault="00B87DA8" w:rsidP="00CA15D5">
      <w:pPr>
        <w:spacing w:after="160"/>
        <w:ind w:left="1080"/>
        <w:contextualSpacing/>
        <w:jc w:val="both"/>
        <w:rPr>
          <w:szCs w:val="24"/>
          <w:lang w:val="es-ES"/>
        </w:rPr>
      </w:pPr>
    </w:p>
    <w:p w14:paraId="00474D0E" w14:textId="77777777" w:rsidR="00B87DA8" w:rsidRPr="00CA15D5" w:rsidRDefault="00B87DA8" w:rsidP="00CA15D5">
      <w:pPr>
        <w:spacing w:after="160"/>
        <w:contextualSpacing/>
        <w:jc w:val="both"/>
        <w:rPr>
          <w:szCs w:val="24"/>
          <w:lang w:val="es-ES"/>
        </w:rPr>
      </w:pPr>
      <w:r w:rsidRPr="00CA15D5">
        <w:rPr>
          <w:szCs w:val="24"/>
          <w:lang w:val="es-ES"/>
        </w:rPr>
        <w:t xml:space="preserve">En todo caso, la formalización de la Fusión quedará condicionada a la efectiva obtención de autorización administrativa tal y como se describe en la Sección 20 relativa a la Condición Suspensiva, de tal forma que, de ser esta denegada por el </w:t>
      </w:r>
      <w:proofErr w:type="gramStart"/>
      <w:r w:rsidRPr="00CA15D5">
        <w:rPr>
          <w:szCs w:val="24"/>
          <w:lang w:val="es-ES"/>
        </w:rPr>
        <w:t>Ministro</w:t>
      </w:r>
      <w:proofErr w:type="gramEnd"/>
      <w:r w:rsidRPr="00CA15D5">
        <w:rPr>
          <w:szCs w:val="24"/>
          <w:lang w:val="es-ES"/>
        </w:rPr>
        <w:t xml:space="preserve"> de Economía, Comercio y Empresa, los acuerdos adoptados por los Consejos de Administración de las Sociedades Participantes respecto a la Fusión quedarán sin efecto.</w:t>
      </w:r>
    </w:p>
    <w:p w14:paraId="4A63B5E7" w14:textId="77777777" w:rsidR="00B87DA8" w:rsidRPr="00CA15D5" w:rsidRDefault="00B87DA8" w:rsidP="00CA15D5">
      <w:pPr>
        <w:spacing w:after="160"/>
        <w:ind w:left="1080"/>
        <w:contextualSpacing/>
        <w:jc w:val="both"/>
        <w:rPr>
          <w:szCs w:val="24"/>
          <w:lang w:val="es-ES"/>
        </w:rPr>
      </w:pPr>
    </w:p>
    <w:p w14:paraId="6E463203" w14:textId="77777777" w:rsidR="00B87DA8" w:rsidRPr="00CA15D5" w:rsidRDefault="00B87DA8" w:rsidP="00CA15D5">
      <w:pPr>
        <w:spacing w:after="160"/>
        <w:contextualSpacing/>
        <w:jc w:val="both"/>
        <w:rPr>
          <w:szCs w:val="24"/>
          <w:lang w:val="es-ES"/>
        </w:rPr>
      </w:pPr>
      <w:r w:rsidRPr="00CA15D5">
        <w:rPr>
          <w:szCs w:val="24"/>
          <w:lang w:val="es-ES"/>
        </w:rPr>
        <w:t xml:space="preserve">La Fusión no está sujeta a la obligación de notificación y autorización previa de la Comisión Nacional de los Mercados y de la Competencia, al no concurrir ninguna de las circunstancias previstas en los artículos 7 y 8 de la Ley 15/2007, de 3 de julio, de Defensa de la Competencia. </w:t>
      </w:r>
    </w:p>
    <w:p w14:paraId="15F9962D" w14:textId="77777777" w:rsidR="00B87DA8" w:rsidRDefault="00B87DA8" w:rsidP="00B87DA8">
      <w:pPr>
        <w:spacing w:after="160"/>
        <w:ind w:left="1080"/>
        <w:contextualSpacing/>
        <w:jc w:val="both"/>
        <w:rPr>
          <w:szCs w:val="24"/>
          <w:lang w:val="es-ES"/>
        </w:rPr>
      </w:pPr>
    </w:p>
    <w:p w14:paraId="04C8933E" w14:textId="77777777" w:rsidR="00B87DA8" w:rsidRPr="00CA15D5" w:rsidRDefault="00B87DA8" w:rsidP="00CA15D5">
      <w:pPr>
        <w:spacing w:after="160"/>
        <w:ind w:left="1080"/>
        <w:contextualSpacing/>
        <w:jc w:val="both"/>
        <w:rPr>
          <w:szCs w:val="24"/>
          <w:lang w:val="es-ES"/>
        </w:rPr>
      </w:pPr>
    </w:p>
    <w:p w14:paraId="23030435" w14:textId="77777777" w:rsidR="00B87DA8" w:rsidRPr="00CA15D5" w:rsidRDefault="00B87DA8" w:rsidP="00CA15D5">
      <w:pPr>
        <w:numPr>
          <w:ilvl w:val="0"/>
          <w:numId w:val="19"/>
        </w:numPr>
        <w:spacing w:after="160"/>
        <w:ind w:hanging="720"/>
        <w:contextualSpacing/>
        <w:jc w:val="both"/>
        <w:rPr>
          <w:b/>
          <w:bCs/>
          <w:szCs w:val="24"/>
          <w:lang w:val="es-ES"/>
        </w:rPr>
      </w:pPr>
      <w:r w:rsidRPr="00CA15D5">
        <w:rPr>
          <w:b/>
          <w:bCs/>
          <w:szCs w:val="24"/>
          <w:lang w:val="es-ES"/>
        </w:rPr>
        <w:lastRenderedPageBreak/>
        <w:t>CIRCUNSTANCIAS SINGULARES PREVISTAS EN EL ARTÍCULO 91 LOSSEAR Y JUSTIFICACIÓN DE LA FUSIÓN</w:t>
      </w:r>
    </w:p>
    <w:p w14:paraId="45C52026" w14:textId="77777777" w:rsidR="00B87DA8" w:rsidRPr="00CA15D5" w:rsidRDefault="00B87DA8" w:rsidP="00CA15D5">
      <w:pPr>
        <w:spacing w:after="160"/>
        <w:ind w:left="1080"/>
        <w:contextualSpacing/>
        <w:jc w:val="both"/>
        <w:rPr>
          <w:szCs w:val="24"/>
          <w:lang w:val="es-ES"/>
        </w:rPr>
      </w:pPr>
    </w:p>
    <w:p w14:paraId="366F22CE" w14:textId="77777777" w:rsidR="00B87DA8" w:rsidRPr="00CA15D5" w:rsidRDefault="00B87DA8" w:rsidP="00CA15D5">
      <w:pPr>
        <w:numPr>
          <w:ilvl w:val="1"/>
          <w:numId w:val="19"/>
        </w:numPr>
        <w:spacing w:after="160"/>
        <w:ind w:left="426" w:hanging="426"/>
        <w:contextualSpacing/>
        <w:jc w:val="both"/>
        <w:rPr>
          <w:b/>
          <w:bCs/>
          <w:szCs w:val="24"/>
          <w:lang w:val="es-ES"/>
        </w:rPr>
      </w:pPr>
      <w:r w:rsidRPr="00CA15D5">
        <w:rPr>
          <w:b/>
          <w:bCs/>
          <w:szCs w:val="24"/>
          <w:lang w:val="es-ES"/>
        </w:rPr>
        <w:t xml:space="preserve">Circunstancias singulares previstas en el artículo 91 LOSSEAR que concurren en la Fusión  </w:t>
      </w:r>
    </w:p>
    <w:p w14:paraId="6096F9DF" w14:textId="77777777" w:rsidR="00B87DA8" w:rsidRPr="00CA15D5" w:rsidRDefault="00B87DA8" w:rsidP="00CA15D5">
      <w:pPr>
        <w:spacing w:after="160"/>
        <w:ind w:left="1080"/>
        <w:contextualSpacing/>
        <w:jc w:val="both"/>
        <w:rPr>
          <w:b/>
          <w:bCs/>
          <w:szCs w:val="24"/>
          <w:lang w:val="es-ES"/>
        </w:rPr>
      </w:pPr>
    </w:p>
    <w:p w14:paraId="1AFCD354" w14:textId="77777777" w:rsidR="00B87DA8" w:rsidRPr="00CA15D5" w:rsidRDefault="00B87DA8" w:rsidP="00CA15D5">
      <w:pPr>
        <w:spacing w:after="160"/>
        <w:contextualSpacing/>
        <w:jc w:val="both"/>
        <w:rPr>
          <w:szCs w:val="24"/>
          <w:lang w:val="es-ES"/>
        </w:rPr>
      </w:pPr>
      <w:r w:rsidRPr="00CA15D5">
        <w:rPr>
          <w:szCs w:val="24"/>
          <w:lang w:val="es-ES"/>
        </w:rPr>
        <w:t xml:space="preserve">La Fusión proyectada persigue la integración de los negocios de la Sociedad Absorbente y la Sociedad Absorbida, con la consiguiente simplificación del negocio de ADMIRAL GROUP en Europa y la racionalización de la actividad aseguradora desarrollada por AECS en España, Francia e Italia, así como la optimización de los recursos propios y de los medios materiales y humanos de las Sociedades Participantes en la Fusión, todo ello al objeto de establecer procesos de negocio de mayor calidad que permitan un incremento en la eficiencia de AECS. </w:t>
      </w:r>
    </w:p>
    <w:p w14:paraId="704405E5" w14:textId="77777777" w:rsidR="00B87DA8" w:rsidRPr="00CA15D5" w:rsidRDefault="00B87DA8" w:rsidP="00CA15D5">
      <w:pPr>
        <w:spacing w:after="160"/>
        <w:ind w:left="1080"/>
        <w:contextualSpacing/>
        <w:jc w:val="both"/>
        <w:rPr>
          <w:szCs w:val="24"/>
          <w:lang w:val="es-ES"/>
        </w:rPr>
      </w:pPr>
    </w:p>
    <w:p w14:paraId="7CA30DDC" w14:textId="77777777" w:rsidR="00B87DA8" w:rsidRPr="00CA15D5" w:rsidRDefault="00B87DA8" w:rsidP="00CA15D5">
      <w:pPr>
        <w:spacing w:after="160"/>
        <w:contextualSpacing/>
        <w:jc w:val="both"/>
        <w:rPr>
          <w:szCs w:val="24"/>
          <w:lang w:val="es-ES"/>
        </w:rPr>
      </w:pPr>
      <w:r w:rsidRPr="00CA15D5">
        <w:rPr>
          <w:szCs w:val="24"/>
          <w:u w:val="single"/>
          <w:lang w:val="es-ES"/>
        </w:rPr>
        <w:t>En cumplimiento del artículo 91 LOSSEAR se hace constar que la Fusión</w:t>
      </w:r>
      <w:r w:rsidRPr="00CA15D5">
        <w:rPr>
          <w:szCs w:val="24"/>
          <w:lang w:val="es-ES"/>
        </w:rPr>
        <w:t>:</w:t>
      </w:r>
    </w:p>
    <w:p w14:paraId="1657B1E0" w14:textId="77777777" w:rsidR="00B87DA8" w:rsidRPr="00CA15D5" w:rsidRDefault="00B87DA8" w:rsidP="00CA15D5">
      <w:pPr>
        <w:spacing w:after="160"/>
        <w:ind w:left="1080"/>
        <w:contextualSpacing/>
        <w:jc w:val="both"/>
        <w:rPr>
          <w:szCs w:val="24"/>
          <w:lang w:val="es-ES"/>
        </w:rPr>
      </w:pPr>
    </w:p>
    <w:p w14:paraId="3D4FA914" w14:textId="77777777" w:rsidR="00B87DA8" w:rsidRPr="00CA15D5" w:rsidRDefault="00B87DA8" w:rsidP="00CA15D5">
      <w:pPr>
        <w:numPr>
          <w:ilvl w:val="1"/>
          <w:numId w:val="16"/>
        </w:numPr>
        <w:spacing w:after="160"/>
        <w:contextualSpacing/>
        <w:jc w:val="both"/>
        <w:rPr>
          <w:szCs w:val="24"/>
          <w:lang w:val="es-ES"/>
        </w:rPr>
      </w:pPr>
      <w:r w:rsidRPr="00CA15D5">
        <w:rPr>
          <w:szCs w:val="24"/>
          <w:lang w:val="es-ES"/>
        </w:rPr>
        <w:t xml:space="preserve">Permitirá alcanzar un desarrollo más adecuado de la actividad aseguradora de AECS en España, Francia e Italia, jurisdicciones estas últimas en las que actualmente opera en régimen de libre prestación de servicios y en las que pasará a operar en régimen de derecho de establecimiento (según se detalla en la sección 18 del presente Proyecto de Fusión). </w:t>
      </w:r>
    </w:p>
    <w:p w14:paraId="341641C7" w14:textId="77777777" w:rsidR="00B87DA8" w:rsidRPr="00CA15D5" w:rsidRDefault="00B87DA8" w:rsidP="00CA15D5">
      <w:pPr>
        <w:spacing w:after="160"/>
        <w:ind w:left="1440"/>
        <w:contextualSpacing/>
        <w:jc w:val="both"/>
        <w:rPr>
          <w:szCs w:val="24"/>
          <w:lang w:val="es-ES"/>
        </w:rPr>
      </w:pPr>
    </w:p>
    <w:p w14:paraId="54E63D24" w14:textId="77777777" w:rsidR="00B87DA8" w:rsidRPr="00CA15D5" w:rsidRDefault="00B87DA8" w:rsidP="00CA15D5">
      <w:pPr>
        <w:spacing w:after="160"/>
        <w:ind w:left="1440"/>
        <w:contextualSpacing/>
        <w:jc w:val="both"/>
        <w:rPr>
          <w:szCs w:val="24"/>
          <w:lang w:val="es-ES"/>
        </w:rPr>
      </w:pPr>
      <w:r w:rsidRPr="00CA15D5">
        <w:rPr>
          <w:szCs w:val="24"/>
          <w:lang w:val="es-ES"/>
        </w:rPr>
        <w:t>A estos efectos, AECS ha comunicado a la Dirección General de Seguros y Fondos de Pensiones su intención de comenzar a operar en Francia e Italia, respectivamente, mediante el régimen de derecho de establecimiento, esto es, a través de sucursales en las que se integrarán las actividades actualmente desarrolladas por las sucursales de AIS una vez traspasado en bloque su patrimonio como resultado de la Fusión.</w:t>
      </w:r>
    </w:p>
    <w:p w14:paraId="1FC483B8" w14:textId="77777777" w:rsidR="00B87DA8" w:rsidRPr="00CA15D5" w:rsidRDefault="00B87DA8" w:rsidP="00CA15D5">
      <w:pPr>
        <w:spacing w:after="160"/>
        <w:ind w:left="1440"/>
        <w:contextualSpacing/>
        <w:jc w:val="both"/>
        <w:rPr>
          <w:szCs w:val="24"/>
          <w:lang w:val="es-ES"/>
        </w:rPr>
      </w:pPr>
    </w:p>
    <w:p w14:paraId="50FDE410" w14:textId="77777777" w:rsidR="00B87DA8" w:rsidRPr="00CA15D5" w:rsidRDefault="00B87DA8" w:rsidP="00CA15D5">
      <w:pPr>
        <w:numPr>
          <w:ilvl w:val="1"/>
          <w:numId w:val="16"/>
        </w:numPr>
        <w:spacing w:after="160"/>
        <w:contextualSpacing/>
        <w:jc w:val="both"/>
        <w:rPr>
          <w:szCs w:val="24"/>
          <w:lang w:val="es-ES"/>
        </w:rPr>
      </w:pPr>
      <w:r w:rsidRPr="00CA15D5">
        <w:rPr>
          <w:szCs w:val="24"/>
          <w:lang w:val="es-ES"/>
        </w:rPr>
        <w:t xml:space="preserve">No supondrá un menoscabo de las garantías financieras de AECS, tal y como se desprende del balance de fusión. Además, con el fin de reforzar la solvencia de AECS, se prevé la capitalización de dos préstamos intragrupo que elevará </w:t>
      </w:r>
      <w:proofErr w:type="gramStart"/>
      <w:r w:rsidRPr="00CA15D5">
        <w:rPr>
          <w:szCs w:val="24"/>
          <w:lang w:val="es-ES"/>
        </w:rPr>
        <w:t>el ratio</w:t>
      </w:r>
      <w:proofErr w:type="gramEnd"/>
      <w:r w:rsidRPr="00CA15D5">
        <w:rPr>
          <w:szCs w:val="24"/>
          <w:lang w:val="es-ES"/>
        </w:rPr>
        <w:t xml:space="preserve"> de solvencia de AECS al 138%. Se adjunta como </w:t>
      </w:r>
      <w:r w:rsidRPr="00CA15D5">
        <w:rPr>
          <w:b/>
          <w:bCs/>
          <w:szCs w:val="24"/>
          <w:u w:val="single"/>
          <w:lang w:val="es-ES"/>
        </w:rPr>
        <w:t>Anexo I</w:t>
      </w:r>
      <w:r w:rsidRPr="00CA15D5">
        <w:rPr>
          <w:szCs w:val="24"/>
          <w:lang w:val="es-ES"/>
        </w:rPr>
        <w:t xml:space="preserve"> carta del Grupo en la que se aprueba la capitalización de los préstamos, y en la que se afirma, además, que en caso de ser necesaria una aportación adicional de fondos para mantener </w:t>
      </w:r>
      <w:proofErr w:type="gramStart"/>
      <w:r w:rsidRPr="00CA15D5">
        <w:rPr>
          <w:szCs w:val="24"/>
          <w:lang w:val="es-ES"/>
        </w:rPr>
        <w:t>el ratio</w:t>
      </w:r>
      <w:proofErr w:type="gramEnd"/>
      <w:r w:rsidRPr="00CA15D5">
        <w:rPr>
          <w:szCs w:val="24"/>
          <w:lang w:val="es-ES"/>
        </w:rPr>
        <w:t xml:space="preserve"> de solvencia en los niveles de apetito definido por el Consejo, se realizará.</w:t>
      </w:r>
    </w:p>
    <w:p w14:paraId="372318D3" w14:textId="77777777" w:rsidR="00B87DA8" w:rsidRPr="00CA15D5" w:rsidRDefault="00B87DA8" w:rsidP="00CA15D5">
      <w:pPr>
        <w:spacing w:after="160"/>
        <w:ind w:left="720"/>
        <w:contextualSpacing/>
        <w:rPr>
          <w:szCs w:val="24"/>
          <w:lang w:val="es-ES"/>
        </w:rPr>
      </w:pPr>
    </w:p>
    <w:p w14:paraId="587C166A" w14:textId="77777777" w:rsidR="00B87DA8" w:rsidRPr="00CA15D5" w:rsidRDefault="00B87DA8" w:rsidP="00CA15D5">
      <w:pPr>
        <w:numPr>
          <w:ilvl w:val="1"/>
          <w:numId w:val="16"/>
        </w:numPr>
        <w:spacing w:after="160"/>
        <w:contextualSpacing/>
        <w:jc w:val="both"/>
        <w:rPr>
          <w:szCs w:val="24"/>
          <w:lang w:val="es-ES"/>
        </w:rPr>
      </w:pPr>
      <w:r w:rsidRPr="00CA15D5">
        <w:rPr>
          <w:szCs w:val="24"/>
          <w:lang w:val="es-ES"/>
        </w:rPr>
        <w:t xml:space="preserve">No supondrá un menoscabo de los derechos de los asegurados, los cuales mantendrán sus pólizas, garantías y/o coberturas, respectivamente, para los distintos productos contratados con AECS, no viendo por tanto los asegurados alterados sus derechos con motivo de la Fusión. </w:t>
      </w:r>
    </w:p>
    <w:p w14:paraId="2B74D074" w14:textId="77777777" w:rsidR="00B87DA8" w:rsidRPr="00CA15D5" w:rsidRDefault="00B87DA8" w:rsidP="00CA15D5">
      <w:pPr>
        <w:spacing w:after="160"/>
        <w:ind w:left="720"/>
        <w:contextualSpacing/>
        <w:rPr>
          <w:szCs w:val="24"/>
          <w:lang w:val="es-ES"/>
        </w:rPr>
      </w:pPr>
    </w:p>
    <w:p w14:paraId="3B6DB3DA" w14:textId="77777777" w:rsidR="00B87DA8" w:rsidRPr="00CA15D5" w:rsidRDefault="00B87DA8" w:rsidP="00CA15D5">
      <w:pPr>
        <w:numPr>
          <w:ilvl w:val="1"/>
          <w:numId w:val="16"/>
        </w:numPr>
        <w:spacing w:after="160"/>
        <w:contextualSpacing/>
        <w:jc w:val="both"/>
        <w:rPr>
          <w:szCs w:val="24"/>
          <w:lang w:val="es-ES"/>
        </w:rPr>
      </w:pPr>
      <w:r w:rsidRPr="00CA15D5">
        <w:rPr>
          <w:szCs w:val="24"/>
          <w:lang w:val="es-ES"/>
        </w:rPr>
        <w:lastRenderedPageBreak/>
        <w:t>No supondrá un menoscabo de la transparencia en la asunción de las obligaciones derivadas de los contratos de seguro. Las Sociedades Participantes en la Fusión han previsto las medidas necesarias para garantizar el cumplimiento de los requerimientos de transparencia exigidos en la LOSSEAR, ROSSEAR y en el Real Decreto-ley 3/2020 por el que se incorpora al ordenamiento jurídico español la Directiva (UE) 2016/97 sobre la distribución de seguros (“</w:t>
      </w:r>
      <w:r w:rsidRPr="00CA15D5">
        <w:rPr>
          <w:b/>
          <w:bCs/>
          <w:szCs w:val="24"/>
          <w:lang w:val="es-ES"/>
        </w:rPr>
        <w:t>RDL 3/2020</w:t>
      </w:r>
      <w:r w:rsidRPr="00CA15D5">
        <w:rPr>
          <w:szCs w:val="24"/>
          <w:lang w:val="es-ES"/>
        </w:rPr>
        <w:t>”), así como la normativa análoga en materia aseguradora aplicable en Francia e Italia, respectivamente.</w:t>
      </w:r>
    </w:p>
    <w:p w14:paraId="7A99977F" w14:textId="77777777" w:rsidR="00B87DA8" w:rsidRPr="00CA15D5" w:rsidRDefault="00B87DA8" w:rsidP="00CA15D5">
      <w:pPr>
        <w:spacing w:after="160"/>
        <w:ind w:left="1440"/>
        <w:contextualSpacing/>
        <w:jc w:val="both"/>
        <w:rPr>
          <w:szCs w:val="24"/>
          <w:lang w:val="es-ES"/>
        </w:rPr>
      </w:pPr>
    </w:p>
    <w:p w14:paraId="7155D327" w14:textId="77777777" w:rsidR="00B87DA8" w:rsidRPr="00CA15D5" w:rsidRDefault="00B87DA8" w:rsidP="00CA15D5">
      <w:pPr>
        <w:spacing w:after="160"/>
        <w:ind w:left="1440"/>
        <w:contextualSpacing/>
        <w:jc w:val="both"/>
        <w:rPr>
          <w:szCs w:val="24"/>
          <w:lang w:val="es-ES"/>
        </w:rPr>
      </w:pPr>
      <w:r w:rsidRPr="00CA15D5">
        <w:rPr>
          <w:szCs w:val="24"/>
          <w:lang w:val="es-ES"/>
        </w:rPr>
        <w:t xml:space="preserve">En todas las comunicaciones se explicará que los contratos serán renovados por AECS en España, como hasta la fecha, o por las sucursales de AECS en Francia e Italia –o la Filial Italiana (tal y como se define este término más adelante)– en lugar de por AECS en España, para el caso de los asegurados en Francia e Italia, destacándose que la labor de distribución continuará siendo realizada por AECS en lugar de AIS sin que esto modifique la solvencia de su aseguradora. </w:t>
      </w:r>
    </w:p>
    <w:p w14:paraId="04926E4A" w14:textId="77777777" w:rsidR="00B87DA8" w:rsidRPr="00CA15D5" w:rsidRDefault="00B87DA8" w:rsidP="00CA15D5">
      <w:pPr>
        <w:spacing w:after="160"/>
        <w:ind w:left="1440"/>
        <w:contextualSpacing/>
        <w:jc w:val="both"/>
        <w:rPr>
          <w:szCs w:val="24"/>
          <w:lang w:val="es-ES"/>
        </w:rPr>
      </w:pPr>
    </w:p>
    <w:p w14:paraId="009DCEC0" w14:textId="77777777" w:rsidR="00B87DA8" w:rsidRPr="00CA15D5" w:rsidRDefault="00B87DA8" w:rsidP="00CA15D5">
      <w:pPr>
        <w:spacing w:after="160"/>
        <w:ind w:left="1440"/>
        <w:contextualSpacing/>
        <w:jc w:val="both"/>
        <w:rPr>
          <w:szCs w:val="24"/>
          <w:lang w:val="es-ES"/>
        </w:rPr>
      </w:pPr>
      <w:r w:rsidRPr="00CA15D5">
        <w:rPr>
          <w:szCs w:val="24"/>
          <w:lang w:val="es-ES"/>
        </w:rPr>
        <w:t xml:space="preserve">También se destacará que, en la futura organización, los equipos de AIS que actualmente atienden a los clientes, así como los puntos de contacto de los clientes con AIS (sitio web, número de teléfono, dirección de correo electrónico) no cambiarán, siendo estos canales gestionados y asumidos por AECS en aras de la continuidad de los servicios prestados a los asegurados. </w:t>
      </w:r>
    </w:p>
    <w:p w14:paraId="41114243" w14:textId="77777777" w:rsidR="00B87DA8" w:rsidRPr="00CA15D5" w:rsidRDefault="00B87DA8" w:rsidP="00CA15D5">
      <w:pPr>
        <w:spacing w:after="160"/>
        <w:ind w:left="1080"/>
        <w:contextualSpacing/>
        <w:jc w:val="both"/>
        <w:rPr>
          <w:szCs w:val="24"/>
          <w:lang w:val="es-ES"/>
        </w:rPr>
      </w:pPr>
    </w:p>
    <w:p w14:paraId="4E27EC1E" w14:textId="77777777" w:rsidR="00B87DA8" w:rsidRPr="00CA15D5" w:rsidRDefault="00B87DA8" w:rsidP="00CA15D5">
      <w:pPr>
        <w:numPr>
          <w:ilvl w:val="1"/>
          <w:numId w:val="19"/>
        </w:numPr>
        <w:spacing w:after="160"/>
        <w:ind w:left="426" w:hanging="426"/>
        <w:contextualSpacing/>
        <w:jc w:val="both"/>
        <w:rPr>
          <w:b/>
          <w:bCs/>
          <w:szCs w:val="24"/>
          <w:lang w:val="es-ES"/>
        </w:rPr>
      </w:pPr>
      <w:r w:rsidRPr="00CA15D5">
        <w:rPr>
          <w:b/>
          <w:bCs/>
          <w:szCs w:val="24"/>
          <w:lang w:val="es-ES"/>
        </w:rPr>
        <w:t>Justificación de la Fusión</w:t>
      </w:r>
    </w:p>
    <w:p w14:paraId="6C9A0FCA" w14:textId="77777777" w:rsidR="00B87DA8" w:rsidRPr="00CA15D5" w:rsidRDefault="00B87DA8" w:rsidP="00CA15D5">
      <w:pPr>
        <w:spacing w:after="160"/>
        <w:ind w:left="1080"/>
        <w:contextualSpacing/>
        <w:jc w:val="both"/>
        <w:rPr>
          <w:szCs w:val="24"/>
          <w:lang w:val="es-ES"/>
        </w:rPr>
      </w:pPr>
    </w:p>
    <w:p w14:paraId="6D5CB0DD" w14:textId="77777777" w:rsidR="00B87DA8" w:rsidRPr="00CA15D5" w:rsidRDefault="00B87DA8" w:rsidP="00CA15D5">
      <w:pPr>
        <w:spacing w:after="160"/>
        <w:contextualSpacing/>
        <w:jc w:val="both"/>
        <w:rPr>
          <w:szCs w:val="24"/>
          <w:lang w:val="es-ES"/>
        </w:rPr>
      </w:pPr>
      <w:r w:rsidRPr="00CA15D5">
        <w:rPr>
          <w:szCs w:val="24"/>
          <w:lang w:val="es-ES"/>
        </w:rPr>
        <w:t xml:space="preserve">Asimismo, la Fusión se realiza a fin de alcanzar los siguientes fines: </w:t>
      </w:r>
    </w:p>
    <w:p w14:paraId="17FA117D" w14:textId="77777777" w:rsidR="00B87DA8" w:rsidRPr="00CA15D5" w:rsidRDefault="00B87DA8" w:rsidP="00CA15D5">
      <w:pPr>
        <w:spacing w:after="160"/>
        <w:ind w:left="1080"/>
        <w:contextualSpacing/>
        <w:jc w:val="both"/>
        <w:rPr>
          <w:szCs w:val="24"/>
          <w:lang w:val="es-ES"/>
        </w:rPr>
      </w:pPr>
    </w:p>
    <w:p w14:paraId="6F7D9DFB" w14:textId="77777777" w:rsidR="00B87DA8" w:rsidRPr="00CA15D5" w:rsidRDefault="00B87DA8" w:rsidP="00CA15D5">
      <w:pPr>
        <w:numPr>
          <w:ilvl w:val="1"/>
          <w:numId w:val="16"/>
        </w:numPr>
        <w:spacing w:after="160"/>
        <w:contextualSpacing/>
        <w:jc w:val="both"/>
        <w:rPr>
          <w:szCs w:val="24"/>
          <w:lang w:val="es-ES"/>
        </w:rPr>
      </w:pPr>
      <w:r w:rsidRPr="00CA15D5">
        <w:rPr>
          <w:szCs w:val="24"/>
          <w:lang w:val="es-ES"/>
        </w:rPr>
        <w:t xml:space="preserve">Contribuir eficazmente a satisfacer las necesidades de los clientes de AECS en España, Francia e Italia. </w:t>
      </w:r>
    </w:p>
    <w:p w14:paraId="4122A184" w14:textId="77777777" w:rsidR="00B87DA8" w:rsidRPr="00CA15D5" w:rsidRDefault="00B87DA8" w:rsidP="00CA15D5">
      <w:pPr>
        <w:spacing w:after="160"/>
        <w:ind w:left="1440"/>
        <w:contextualSpacing/>
        <w:jc w:val="both"/>
        <w:rPr>
          <w:szCs w:val="24"/>
          <w:lang w:val="es-ES"/>
        </w:rPr>
      </w:pPr>
    </w:p>
    <w:p w14:paraId="689B1E31" w14:textId="77777777" w:rsidR="00B87DA8" w:rsidRPr="00CA15D5" w:rsidRDefault="00B87DA8" w:rsidP="00CA15D5">
      <w:pPr>
        <w:spacing w:after="160"/>
        <w:ind w:left="1440"/>
        <w:contextualSpacing/>
        <w:jc w:val="both"/>
        <w:rPr>
          <w:szCs w:val="24"/>
          <w:lang w:val="es-ES"/>
        </w:rPr>
      </w:pPr>
      <w:r w:rsidRPr="00CA15D5">
        <w:rPr>
          <w:szCs w:val="24"/>
          <w:lang w:val="es-ES"/>
        </w:rPr>
        <w:t>La Fusión permitirá la integración de la actividad de distribución de seguros actualmente desarrollada por AIS en España y por sus sucursales en Francia e Italia en la estructura de AECS, permitiendo mantener su presencia en los mercados y garantizar la continuidad de sus servicios y actividades en Europa.</w:t>
      </w:r>
    </w:p>
    <w:p w14:paraId="21E22474" w14:textId="77777777" w:rsidR="00B87DA8" w:rsidRPr="00CA15D5" w:rsidRDefault="00B87DA8" w:rsidP="00CA15D5">
      <w:pPr>
        <w:spacing w:after="160"/>
        <w:ind w:left="1440"/>
        <w:contextualSpacing/>
        <w:jc w:val="both"/>
        <w:rPr>
          <w:szCs w:val="24"/>
          <w:lang w:val="es-ES"/>
        </w:rPr>
      </w:pPr>
    </w:p>
    <w:p w14:paraId="7B9D4A22" w14:textId="77777777" w:rsidR="00B87DA8" w:rsidRPr="00CA15D5" w:rsidRDefault="00B87DA8" w:rsidP="00CA15D5">
      <w:pPr>
        <w:numPr>
          <w:ilvl w:val="1"/>
          <w:numId w:val="16"/>
        </w:numPr>
        <w:spacing w:after="160"/>
        <w:contextualSpacing/>
        <w:jc w:val="both"/>
        <w:rPr>
          <w:szCs w:val="24"/>
          <w:lang w:val="es-ES"/>
        </w:rPr>
      </w:pPr>
      <w:r w:rsidRPr="00CA15D5">
        <w:rPr>
          <w:szCs w:val="24"/>
          <w:lang w:val="es-ES"/>
        </w:rPr>
        <w:t xml:space="preserve">Aplicar sinergias y mejorar la calidad de los servicios ofrecidos, aprovechando el conocimiento del mercado asegurador y la experiencia de AIS en Francia e Italia para que AECS pueda adaptar mejor la oferta de productos a sus clientes, ampliando la calidad de los servicios ofrecidos y la cantidad de los productos de seguro según la evolución del negocio. </w:t>
      </w:r>
    </w:p>
    <w:p w14:paraId="5C31EBF1" w14:textId="77777777" w:rsidR="00B87DA8" w:rsidRPr="00CA15D5" w:rsidRDefault="00B87DA8" w:rsidP="00CA15D5">
      <w:pPr>
        <w:spacing w:after="160"/>
        <w:ind w:left="1440"/>
        <w:contextualSpacing/>
        <w:jc w:val="both"/>
        <w:rPr>
          <w:szCs w:val="24"/>
          <w:lang w:val="es-ES"/>
        </w:rPr>
      </w:pPr>
    </w:p>
    <w:p w14:paraId="0235647B" w14:textId="77777777" w:rsidR="00B87DA8" w:rsidRPr="00CA15D5" w:rsidRDefault="00B87DA8" w:rsidP="00CA15D5">
      <w:pPr>
        <w:numPr>
          <w:ilvl w:val="1"/>
          <w:numId w:val="16"/>
        </w:numPr>
        <w:spacing w:after="160"/>
        <w:contextualSpacing/>
        <w:jc w:val="both"/>
        <w:rPr>
          <w:szCs w:val="24"/>
          <w:lang w:val="es-ES"/>
        </w:rPr>
      </w:pPr>
      <w:r w:rsidRPr="00CA15D5">
        <w:rPr>
          <w:szCs w:val="24"/>
          <w:lang w:val="es-ES"/>
        </w:rPr>
        <w:t xml:space="preserve">Consolidar la red de distribución de AECS a través de los equipos propios sin necesidad de recurrir a otras entidades aseguradoras para la cobertura de riesgos </w:t>
      </w:r>
      <w:r w:rsidRPr="00CA15D5">
        <w:rPr>
          <w:szCs w:val="24"/>
          <w:lang w:val="es-ES"/>
        </w:rPr>
        <w:lastRenderedPageBreak/>
        <w:t>auxiliares dentro del catálogo de servicios actualmente ofrecidos por AIS, facilitando a los clientes un catálogo de productos más sencillo, transparente y accesible.</w:t>
      </w:r>
    </w:p>
    <w:p w14:paraId="555C73B0" w14:textId="77777777" w:rsidR="00B87DA8" w:rsidRPr="00CA15D5" w:rsidRDefault="00B87DA8" w:rsidP="00CA15D5">
      <w:pPr>
        <w:spacing w:after="160"/>
        <w:ind w:left="720"/>
        <w:contextualSpacing/>
        <w:rPr>
          <w:szCs w:val="24"/>
          <w:lang w:val="es-ES"/>
        </w:rPr>
      </w:pPr>
    </w:p>
    <w:p w14:paraId="56CEF8D6" w14:textId="77777777" w:rsidR="00B87DA8" w:rsidRPr="00CA15D5" w:rsidRDefault="00B87DA8" w:rsidP="00CA15D5">
      <w:pPr>
        <w:numPr>
          <w:ilvl w:val="1"/>
          <w:numId w:val="16"/>
        </w:numPr>
        <w:spacing w:after="160"/>
        <w:contextualSpacing/>
        <w:jc w:val="both"/>
        <w:rPr>
          <w:szCs w:val="24"/>
          <w:lang w:val="es-ES"/>
        </w:rPr>
      </w:pPr>
      <w:r w:rsidRPr="00CA15D5">
        <w:rPr>
          <w:szCs w:val="24"/>
          <w:lang w:val="es-ES"/>
        </w:rPr>
        <w:t>Mejorar la competitividad y eficacia en la gestión y, en particular, elevar la capacidad de gestión mediante la mayor profesionalización y adecuación de los equipos humanos.</w:t>
      </w:r>
    </w:p>
    <w:p w14:paraId="5D2D08AD" w14:textId="77777777" w:rsidR="00B87DA8" w:rsidRPr="00CA15D5" w:rsidRDefault="00B87DA8" w:rsidP="00CA15D5">
      <w:pPr>
        <w:spacing w:after="160"/>
        <w:ind w:left="720"/>
        <w:contextualSpacing/>
        <w:rPr>
          <w:szCs w:val="24"/>
          <w:lang w:val="es-ES"/>
        </w:rPr>
      </w:pPr>
    </w:p>
    <w:p w14:paraId="23B2B402" w14:textId="77777777" w:rsidR="00B87DA8" w:rsidRPr="00CA15D5" w:rsidRDefault="00B87DA8" w:rsidP="00CA15D5">
      <w:pPr>
        <w:numPr>
          <w:ilvl w:val="1"/>
          <w:numId w:val="16"/>
        </w:numPr>
        <w:spacing w:after="160"/>
        <w:contextualSpacing/>
        <w:jc w:val="both"/>
        <w:rPr>
          <w:szCs w:val="24"/>
          <w:lang w:val="es-ES"/>
        </w:rPr>
      </w:pPr>
      <w:r w:rsidRPr="00CA15D5">
        <w:rPr>
          <w:szCs w:val="24"/>
          <w:lang w:val="es-ES"/>
        </w:rPr>
        <w:t>Aumentar la productividad por medio de la racionalización de los procesos operativos y de la incorporación y actualización de instrumentos técnicos innovadores.</w:t>
      </w:r>
    </w:p>
    <w:p w14:paraId="19B07E6E" w14:textId="77777777" w:rsidR="00B87DA8" w:rsidRPr="00CA15D5" w:rsidRDefault="00B87DA8" w:rsidP="00CA15D5">
      <w:pPr>
        <w:spacing w:after="160"/>
        <w:ind w:left="720"/>
        <w:contextualSpacing/>
        <w:rPr>
          <w:szCs w:val="24"/>
          <w:lang w:val="es-ES"/>
        </w:rPr>
      </w:pPr>
    </w:p>
    <w:p w14:paraId="22EF034D" w14:textId="77777777" w:rsidR="00B87DA8" w:rsidRPr="00CA15D5" w:rsidRDefault="00B87DA8" w:rsidP="00CA15D5">
      <w:pPr>
        <w:numPr>
          <w:ilvl w:val="1"/>
          <w:numId w:val="16"/>
        </w:numPr>
        <w:spacing w:after="160"/>
        <w:contextualSpacing/>
        <w:jc w:val="both"/>
        <w:rPr>
          <w:szCs w:val="24"/>
          <w:lang w:val="es-ES"/>
        </w:rPr>
      </w:pPr>
      <w:r w:rsidRPr="00CA15D5">
        <w:rPr>
          <w:szCs w:val="24"/>
          <w:lang w:val="es-ES"/>
        </w:rPr>
        <w:t>Racionalizar los gastos de explotación facilitando la realización de economías de escala.</w:t>
      </w:r>
    </w:p>
    <w:p w14:paraId="465E636F" w14:textId="77777777" w:rsidR="00B87DA8" w:rsidRPr="00CA15D5" w:rsidRDefault="00B87DA8" w:rsidP="00CA15D5">
      <w:pPr>
        <w:spacing w:after="160"/>
        <w:ind w:left="720"/>
        <w:contextualSpacing/>
        <w:rPr>
          <w:szCs w:val="24"/>
          <w:lang w:val="es-ES"/>
        </w:rPr>
      </w:pPr>
    </w:p>
    <w:p w14:paraId="2E197796" w14:textId="77777777" w:rsidR="00B87DA8" w:rsidRPr="00CA15D5" w:rsidRDefault="00B87DA8" w:rsidP="00CA15D5">
      <w:pPr>
        <w:numPr>
          <w:ilvl w:val="1"/>
          <w:numId w:val="16"/>
        </w:numPr>
        <w:spacing w:after="160"/>
        <w:contextualSpacing/>
        <w:jc w:val="both"/>
        <w:rPr>
          <w:szCs w:val="24"/>
          <w:lang w:val="es-ES"/>
        </w:rPr>
      </w:pPr>
      <w:r w:rsidRPr="00CA15D5">
        <w:rPr>
          <w:szCs w:val="24"/>
          <w:lang w:val="es-ES"/>
        </w:rPr>
        <w:t xml:space="preserve">Mejorar </w:t>
      </w:r>
      <w:proofErr w:type="gramStart"/>
      <w:r w:rsidRPr="00CA15D5">
        <w:rPr>
          <w:szCs w:val="24"/>
          <w:lang w:val="es-ES"/>
        </w:rPr>
        <w:t>los ratios</w:t>
      </w:r>
      <w:proofErr w:type="gramEnd"/>
      <w:r w:rsidRPr="00CA15D5">
        <w:rPr>
          <w:szCs w:val="24"/>
          <w:lang w:val="es-ES"/>
        </w:rPr>
        <w:t xml:space="preserve"> de gestión para conseguir un mayor crecimiento y una adaptación más eficiente a los requerimientos de los organismos reguladores.</w:t>
      </w:r>
    </w:p>
    <w:p w14:paraId="220D7C4D" w14:textId="77777777" w:rsidR="00B87DA8" w:rsidRPr="00CA15D5" w:rsidRDefault="00B87DA8" w:rsidP="00CA15D5">
      <w:pPr>
        <w:spacing w:after="160"/>
        <w:ind w:left="1440"/>
        <w:contextualSpacing/>
        <w:jc w:val="both"/>
        <w:rPr>
          <w:szCs w:val="24"/>
          <w:lang w:val="es-ES"/>
        </w:rPr>
      </w:pPr>
    </w:p>
    <w:p w14:paraId="7A666265" w14:textId="77777777" w:rsidR="00B87DA8" w:rsidRPr="00CA15D5" w:rsidRDefault="00B87DA8" w:rsidP="00CA15D5">
      <w:pPr>
        <w:numPr>
          <w:ilvl w:val="1"/>
          <w:numId w:val="16"/>
        </w:numPr>
        <w:spacing w:after="160"/>
        <w:contextualSpacing/>
        <w:jc w:val="both"/>
        <w:rPr>
          <w:szCs w:val="24"/>
          <w:lang w:val="es-ES"/>
        </w:rPr>
      </w:pPr>
      <w:r w:rsidRPr="00CA15D5">
        <w:rPr>
          <w:szCs w:val="24"/>
          <w:lang w:val="es-ES"/>
        </w:rPr>
        <w:t>Proporcionar a los empleados de las Sociedades Participantes mayores oportunidades profesionales, ampliando sus posibilidades de capacitación y formación y ofreciéndoles la garantía de su participación en una institución más sólida y con mayores perspectivas de futuro.</w:t>
      </w:r>
    </w:p>
    <w:p w14:paraId="44D9C762" w14:textId="77777777" w:rsidR="00B87DA8" w:rsidRPr="00CA15D5" w:rsidRDefault="00B87DA8" w:rsidP="00CA15D5">
      <w:pPr>
        <w:spacing w:after="160"/>
        <w:ind w:left="720"/>
        <w:contextualSpacing/>
        <w:rPr>
          <w:szCs w:val="24"/>
          <w:lang w:val="es-ES"/>
        </w:rPr>
      </w:pPr>
    </w:p>
    <w:p w14:paraId="71C2DCD4" w14:textId="77777777" w:rsidR="00B87DA8" w:rsidRPr="00CA15D5" w:rsidRDefault="00B87DA8" w:rsidP="00CA15D5">
      <w:pPr>
        <w:numPr>
          <w:ilvl w:val="0"/>
          <w:numId w:val="19"/>
        </w:numPr>
        <w:spacing w:after="160"/>
        <w:ind w:hanging="720"/>
        <w:contextualSpacing/>
        <w:jc w:val="both"/>
        <w:rPr>
          <w:b/>
          <w:bCs/>
          <w:szCs w:val="24"/>
          <w:lang w:val="es-ES"/>
        </w:rPr>
      </w:pPr>
      <w:r w:rsidRPr="00CA15D5">
        <w:rPr>
          <w:b/>
          <w:bCs/>
          <w:szCs w:val="24"/>
          <w:lang w:val="es-ES"/>
        </w:rPr>
        <w:t>IDENTIFICACIÓN DE LAS SOCIEDADES PARTICIPANTES EN LA FUSIÓN (Art. 4.1.1º y Art. 40.1º LME)</w:t>
      </w:r>
    </w:p>
    <w:p w14:paraId="5B9EB63D" w14:textId="77777777" w:rsidR="00B87DA8" w:rsidRPr="00CA15D5" w:rsidRDefault="00B87DA8" w:rsidP="00CA15D5">
      <w:pPr>
        <w:spacing w:after="160"/>
        <w:ind w:left="720"/>
        <w:contextualSpacing/>
        <w:jc w:val="both"/>
        <w:rPr>
          <w:b/>
          <w:bCs/>
          <w:szCs w:val="24"/>
          <w:lang w:val="es-ES"/>
        </w:rPr>
      </w:pPr>
    </w:p>
    <w:p w14:paraId="72C21A7F" w14:textId="77777777" w:rsidR="00B87DA8" w:rsidRPr="00CA15D5" w:rsidRDefault="00B87DA8" w:rsidP="00CA15D5">
      <w:pPr>
        <w:numPr>
          <w:ilvl w:val="1"/>
          <w:numId w:val="19"/>
        </w:numPr>
        <w:spacing w:after="160"/>
        <w:ind w:left="426" w:hanging="426"/>
        <w:contextualSpacing/>
        <w:jc w:val="both"/>
        <w:rPr>
          <w:b/>
          <w:bCs/>
          <w:szCs w:val="24"/>
          <w:lang w:val="es-ES"/>
        </w:rPr>
      </w:pPr>
      <w:r w:rsidRPr="00CA15D5">
        <w:rPr>
          <w:b/>
          <w:bCs/>
          <w:szCs w:val="24"/>
          <w:lang w:val="es-ES"/>
        </w:rPr>
        <w:t>Sociedad Absorbente (AECS)</w:t>
      </w:r>
    </w:p>
    <w:p w14:paraId="1B7F8043" w14:textId="77777777" w:rsidR="00B87DA8" w:rsidRPr="00CA15D5" w:rsidRDefault="00B87DA8" w:rsidP="00CA15D5">
      <w:pPr>
        <w:spacing w:after="160"/>
        <w:ind w:left="1080"/>
        <w:contextualSpacing/>
        <w:jc w:val="both"/>
        <w:rPr>
          <w:szCs w:val="24"/>
          <w:lang w:val="es-ES"/>
        </w:rPr>
      </w:pPr>
    </w:p>
    <w:p w14:paraId="05684337" w14:textId="77777777" w:rsidR="00B87DA8" w:rsidRPr="00CA15D5" w:rsidRDefault="00B87DA8" w:rsidP="00CA15D5">
      <w:pPr>
        <w:spacing w:after="160"/>
        <w:contextualSpacing/>
        <w:jc w:val="both"/>
        <w:rPr>
          <w:szCs w:val="24"/>
          <w:lang w:val="es-ES"/>
        </w:rPr>
      </w:pPr>
      <w:r w:rsidRPr="00CA15D5">
        <w:rPr>
          <w:szCs w:val="24"/>
          <w:lang w:val="es-ES"/>
        </w:rPr>
        <w:t>ADMIRAL EUROPE, COMPAÑÍA DE SEGUROS, S.A.U., (AECS), sociedad anónima unipersonal, de nacionalidad española, con NIF A-87.987.822 y domicilio social en Madrid, Calle Rodríguez Marín 61, Planta 1ª, 28016 Madrid, constituida por tiempo indefinido en virtud de escritura de constitución autorizada por el Notario de Sevilla, D. José Ignacio Guajardo Fajardo Colunga, con fecha 20 de diciembre de 2017 e inscrita en el Registro Mercantil de Madrid al folio 31 del tomo 37.134, hoja M-662796.</w:t>
      </w:r>
    </w:p>
    <w:p w14:paraId="0BE7434A" w14:textId="77777777" w:rsidR="00B87DA8" w:rsidRPr="00CA15D5" w:rsidRDefault="00B87DA8" w:rsidP="00CA15D5">
      <w:pPr>
        <w:spacing w:after="160"/>
        <w:ind w:left="1080"/>
        <w:contextualSpacing/>
        <w:jc w:val="both"/>
        <w:rPr>
          <w:szCs w:val="24"/>
          <w:lang w:val="es-ES"/>
        </w:rPr>
      </w:pPr>
    </w:p>
    <w:p w14:paraId="420D2B19" w14:textId="77777777" w:rsidR="00B87DA8" w:rsidRPr="00CA15D5" w:rsidRDefault="00B87DA8" w:rsidP="00CA15D5">
      <w:pPr>
        <w:spacing w:after="160"/>
        <w:contextualSpacing/>
        <w:jc w:val="both"/>
        <w:rPr>
          <w:szCs w:val="24"/>
          <w:lang w:val="es-ES"/>
        </w:rPr>
      </w:pPr>
      <w:r w:rsidRPr="00CA15D5">
        <w:rPr>
          <w:szCs w:val="24"/>
          <w:lang w:val="es-ES"/>
        </w:rPr>
        <w:t xml:space="preserve">Asimismo, la Sociedad Absorbente opera en Francia y en Italia bajo el régimen de libre prestación de servicios. </w:t>
      </w:r>
    </w:p>
    <w:p w14:paraId="0E3B4749" w14:textId="77777777" w:rsidR="00B87DA8" w:rsidRPr="00CA15D5" w:rsidRDefault="00B87DA8" w:rsidP="00CA15D5">
      <w:pPr>
        <w:spacing w:after="160"/>
        <w:ind w:left="1080"/>
        <w:contextualSpacing/>
        <w:jc w:val="both"/>
        <w:rPr>
          <w:szCs w:val="24"/>
          <w:lang w:val="es-ES"/>
        </w:rPr>
      </w:pPr>
    </w:p>
    <w:p w14:paraId="132A6FE6" w14:textId="77777777" w:rsidR="00B87DA8" w:rsidRPr="00CA15D5" w:rsidRDefault="00B87DA8" w:rsidP="00CA15D5">
      <w:pPr>
        <w:spacing w:after="160"/>
        <w:contextualSpacing/>
        <w:jc w:val="both"/>
        <w:rPr>
          <w:szCs w:val="24"/>
          <w:lang w:val="es-ES"/>
        </w:rPr>
      </w:pPr>
      <w:r w:rsidRPr="00CA15D5">
        <w:rPr>
          <w:szCs w:val="24"/>
          <w:lang w:val="es-ES"/>
        </w:rPr>
        <w:t xml:space="preserve">Adicionalmente, el Consejo de Administración de la Sociedad Absorbente acordó, en fecha 27 de febrero de 2026, la creación de dos nuevas sucursales a través de las que operará en régimen de derecho de establecimiento en Francia e Italia. La Sociedad Absorbente se encuentra en proceso de comunicación y obtención de las notificaciones o autorizaciones administrativas </w:t>
      </w:r>
      <w:r w:rsidRPr="00CA15D5">
        <w:rPr>
          <w:szCs w:val="24"/>
          <w:lang w:val="es-ES"/>
        </w:rPr>
        <w:lastRenderedPageBreak/>
        <w:t>preceptivas tanto de la DGSFP como de la ACPR (</w:t>
      </w:r>
      <w:r w:rsidRPr="00CA15D5">
        <w:rPr>
          <w:i/>
          <w:iCs/>
          <w:szCs w:val="24"/>
          <w:lang w:val="es-ES"/>
        </w:rPr>
        <w:t xml:space="preserve">Autorité de </w:t>
      </w:r>
      <w:proofErr w:type="spellStart"/>
      <w:r w:rsidRPr="00CA15D5">
        <w:rPr>
          <w:i/>
          <w:iCs/>
          <w:szCs w:val="24"/>
          <w:lang w:val="es-ES"/>
        </w:rPr>
        <w:t>Contrôle</w:t>
      </w:r>
      <w:proofErr w:type="spellEnd"/>
      <w:r w:rsidRPr="00CA15D5">
        <w:rPr>
          <w:i/>
          <w:iCs/>
          <w:szCs w:val="24"/>
          <w:lang w:val="es-ES"/>
        </w:rPr>
        <w:t xml:space="preserve"> </w:t>
      </w:r>
      <w:proofErr w:type="spellStart"/>
      <w:r w:rsidRPr="00CA15D5">
        <w:rPr>
          <w:i/>
          <w:iCs/>
          <w:szCs w:val="24"/>
          <w:lang w:val="es-ES"/>
        </w:rPr>
        <w:t>Prudentiel</w:t>
      </w:r>
      <w:proofErr w:type="spellEnd"/>
      <w:r w:rsidRPr="00CA15D5">
        <w:rPr>
          <w:i/>
          <w:iCs/>
          <w:szCs w:val="24"/>
          <w:lang w:val="es-ES"/>
        </w:rPr>
        <w:t xml:space="preserve"> et de </w:t>
      </w:r>
      <w:proofErr w:type="spellStart"/>
      <w:r w:rsidRPr="00CA15D5">
        <w:rPr>
          <w:i/>
          <w:iCs/>
          <w:szCs w:val="24"/>
          <w:lang w:val="es-ES"/>
        </w:rPr>
        <w:t>Résolution</w:t>
      </w:r>
      <w:proofErr w:type="spellEnd"/>
      <w:r w:rsidRPr="00CA15D5">
        <w:rPr>
          <w:szCs w:val="24"/>
          <w:lang w:val="es-ES"/>
        </w:rPr>
        <w:t>) y del IVASS (</w:t>
      </w:r>
      <w:proofErr w:type="spellStart"/>
      <w:r w:rsidRPr="00CA15D5">
        <w:rPr>
          <w:i/>
          <w:iCs/>
          <w:szCs w:val="24"/>
          <w:lang w:val="es-ES"/>
        </w:rPr>
        <w:t>Istituto</w:t>
      </w:r>
      <w:proofErr w:type="spellEnd"/>
      <w:r w:rsidRPr="00CA15D5">
        <w:rPr>
          <w:i/>
          <w:iCs/>
          <w:szCs w:val="24"/>
          <w:lang w:val="es-ES"/>
        </w:rPr>
        <w:t xml:space="preserve"> per la </w:t>
      </w:r>
      <w:proofErr w:type="spellStart"/>
      <w:r w:rsidRPr="00CA15D5">
        <w:rPr>
          <w:i/>
          <w:iCs/>
          <w:szCs w:val="24"/>
          <w:lang w:val="es-ES"/>
        </w:rPr>
        <w:t>Vigilanza</w:t>
      </w:r>
      <w:proofErr w:type="spellEnd"/>
      <w:r w:rsidRPr="00CA15D5">
        <w:rPr>
          <w:i/>
          <w:iCs/>
          <w:szCs w:val="24"/>
          <w:lang w:val="es-ES"/>
        </w:rPr>
        <w:t xml:space="preserve"> </w:t>
      </w:r>
      <w:proofErr w:type="spellStart"/>
      <w:r w:rsidRPr="00CA15D5">
        <w:rPr>
          <w:i/>
          <w:iCs/>
          <w:szCs w:val="24"/>
          <w:lang w:val="es-ES"/>
        </w:rPr>
        <w:t>sulle</w:t>
      </w:r>
      <w:proofErr w:type="spellEnd"/>
      <w:r w:rsidRPr="00CA15D5">
        <w:rPr>
          <w:i/>
          <w:iCs/>
          <w:szCs w:val="24"/>
          <w:lang w:val="es-ES"/>
        </w:rPr>
        <w:t xml:space="preserve"> </w:t>
      </w:r>
      <w:proofErr w:type="spellStart"/>
      <w:r w:rsidRPr="00CA15D5">
        <w:rPr>
          <w:i/>
          <w:iCs/>
          <w:szCs w:val="24"/>
          <w:lang w:val="es-ES"/>
        </w:rPr>
        <w:t>Assicurazioni</w:t>
      </w:r>
      <w:proofErr w:type="spellEnd"/>
      <w:r w:rsidRPr="00CA15D5">
        <w:rPr>
          <w:szCs w:val="24"/>
          <w:lang w:val="es-ES"/>
        </w:rPr>
        <w:t>), para que puedan dar inicio las actividades de las referidas nuevas sucursales de la Sociedad Absorbente.</w:t>
      </w:r>
    </w:p>
    <w:p w14:paraId="5E137CC1" w14:textId="77777777" w:rsidR="00B87DA8" w:rsidRPr="00CA15D5" w:rsidRDefault="00B87DA8" w:rsidP="00CA15D5">
      <w:pPr>
        <w:spacing w:after="160"/>
        <w:ind w:left="1080"/>
        <w:contextualSpacing/>
        <w:jc w:val="both"/>
        <w:rPr>
          <w:szCs w:val="24"/>
          <w:lang w:val="es-ES"/>
        </w:rPr>
      </w:pPr>
    </w:p>
    <w:p w14:paraId="2CA5ECC7" w14:textId="77777777" w:rsidR="00B87DA8" w:rsidRPr="00CA15D5" w:rsidRDefault="00B87DA8" w:rsidP="00CA15D5">
      <w:pPr>
        <w:numPr>
          <w:ilvl w:val="1"/>
          <w:numId w:val="19"/>
        </w:numPr>
        <w:spacing w:after="160"/>
        <w:ind w:left="426" w:hanging="426"/>
        <w:contextualSpacing/>
        <w:jc w:val="both"/>
        <w:rPr>
          <w:b/>
          <w:bCs/>
          <w:szCs w:val="24"/>
          <w:lang w:val="es-ES"/>
        </w:rPr>
      </w:pPr>
      <w:r w:rsidRPr="00CA15D5">
        <w:rPr>
          <w:b/>
          <w:bCs/>
          <w:szCs w:val="24"/>
          <w:lang w:val="es-ES"/>
        </w:rPr>
        <w:t>Sociedad Absorbida (AIS y sus sucursales en Francia e Italia)</w:t>
      </w:r>
    </w:p>
    <w:p w14:paraId="74796103" w14:textId="77777777" w:rsidR="00B87DA8" w:rsidRPr="00CA15D5" w:rsidRDefault="00B87DA8" w:rsidP="00CA15D5">
      <w:pPr>
        <w:spacing w:after="160"/>
        <w:ind w:left="1080"/>
        <w:contextualSpacing/>
        <w:jc w:val="both"/>
        <w:rPr>
          <w:b/>
          <w:bCs/>
          <w:szCs w:val="24"/>
          <w:lang w:val="es-ES"/>
        </w:rPr>
      </w:pPr>
    </w:p>
    <w:p w14:paraId="6F8B9E4F" w14:textId="77777777" w:rsidR="00B87DA8" w:rsidRPr="00CA15D5" w:rsidRDefault="00B87DA8" w:rsidP="00CA15D5">
      <w:pPr>
        <w:spacing w:after="160"/>
        <w:contextualSpacing/>
        <w:jc w:val="both"/>
        <w:rPr>
          <w:szCs w:val="24"/>
          <w:lang w:val="es-ES"/>
        </w:rPr>
      </w:pPr>
      <w:r w:rsidRPr="00CA15D5">
        <w:rPr>
          <w:szCs w:val="24"/>
          <w:lang w:val="es-ES"/>
        </w:rPr>
        <w:t>ADMIRAL INTERMEDIARY SERVICES, S.A.U., (AIS), sociedad anónima unipersonal, de nacionalidad española, con NIF A-90.354.911 y domicilio social en Sevilla, Calle Albert Einstein 10, 41092 Sevilla, constituida por tiempo indefinido en virtud de escritura de constitución autorizada por el Notario de Sevilla, D. José Ignacio Guajardo Fajardo Colunga, con fecha 20 de diciembre de 2017 e inscrita en el Registro Mercantil de Sevilla, al folio 184 del tomo 6.488, hoja SE-116309.</w:t>
      </w:r>
    </w:p>
    <w:p w14:paraId="5A451E08" w14:textId="77777777" w:rsidR="00B87DA8" w:rsidRPr="00CA15D5" w:rsidRDefault="00B87DA8" w:rsidP="00CA15D5">
      <w:pPr>
        <w:spacing w:after="160"/>
        <w:ind w:left="1080"/>
        <w:contextualSpacing/>
        <w:jc w:val="both"/>
        <w:rPr>
          <w:szCs w:val="24"/>
          <w:lang w:val="es-ES"/>
        </w:rPr>
      </w:pPr>
    </w:p>
    <w:p w14:paraId="289DF0F3" w14:textId="77777777" w:rsidR="00B87DA8" w:rsidRPr="00CA15D5" w:rsidRDefault="00B87DA8" w:rsidP="00CA15D5">
      <w:pPr>
        <w:spacing w:after="160"/>
        <w:contextualSpacing/>
        <w:jc w:val="both"/>
        <w:rPr>
          <w:szCs w:val="24"/>
          <w:lang w:val="es-ES"/>
        </w:rPr>
      </w:pPr>
      <w:r w:rsidRPr="00CA15D5">
        <w:rPr>
          <w:szCs w:val="24"/>
          <w:lang w:val="es-ES"/>
        </w:rPr>
        <w:t xml:space="preserve">En el día de hoy y con anterioridad a la aprobación del presente Proyecto de Fusión, el órgano de administración de la Sociedad Absorbida ha acordado el traslado de su domicilio social al mismo domicilio de la Sociedad Absorbente, estando pendiente la formalización y presentación a inscripción de dicho traslado de domicilio y el correspondiente traslado del expediente registral al Registro Mercantil de Madrid. En consecuencia, a la fecha de formulación del presente Proyecto, el referido acuerdo se encuentra pendiente de publicación e inscripción, haciéndose constar que el cambio de domicilio social ha surtido plenos efectos desde el momento de la adopción del citado acuerdo, con independencia de que la modificación aún no haya resultado inscrita, al tener dicha inscripción carácter meramente declarativo y no constitutivo. </w:t>
      </w:r>
    </w:p>
    <w:p w14:paraId="4E315E29" w14:textId="77777777" w:rsidR="00B87DA8" w:rsidRPr="00CA15D5" w:rsidRDefault="00B87DA8" w:rsidP="00CA15D5">
      <w:pPr>
        <w:spacing w:after="160"/>
        <w:ind w:left="1080"/>
        <w:contextualSpacing/>
        <w:jc w:val="both"/>
        <w:rPr>
          <w:szCs w:val="24"/>
          <w:lang w:val="es-ES"/>
        </w:rPr>
      </w:pPr>
    </w:p>
    <w:p w14:paraId="56F63A76" w14:textId="77777777" w:rsidR="00B87DA8" w:rsidRPr="00CA15D5" w:rsidRDefault="00B87DA8" w:rsidP="00CA15D5">
      <w:pPr>
        <w:spacing w:after="160"/>
        <w:contextualSpacing/>
        <w:jc w:val="both"/>
        <w:rPr>
          <w:szCs w:val="24"/>
          <w:lang w:val="es-ES"/>
        </w:rPr>
      </w:pPr>
      <w:r w:rsidRPr="00CA15D5">
        <w:rPr>
          <w:szCs w:val="24"/>
          <w:lang w:val="es-ES"/>
        </w:rPr>
        <w:t>En el momento de la formalización de la Fusión con el otorgamiento de la escritura pública de Fusión, el cambio de domicilio habrá quedado debidamente inscrito, y entendiéndose en consecuencia que el Registro competente para la calificación de la Fusión sea el Registro Mercantil de Madrid.</w:t>
      </w:r>
    </w:p>
    <w:p w14:paraId="3F2DAC77" w14:textId="77777777" w:rsidR="00B87DA8" w:rsidRPr="00CA15D5" w:rsidRDefault="00B87DA8" w:rsidP="00CA15D5">
      <w:pPr>
        <w:spacing w:after="160"/>
        <w:ind w:left="1080"/>
        <w:contextualSpacing/>
        <w:jc w:val="both"/>
        <w:rPr>
          <w:szCs w:val="24"/>
          <w:lang w:val="es-ES"/>
        </w:rPr>
      </w:pPr>
    </w:p>
    <w:p w14:paraId="563E24C6" w14:textId="77777777" w:rsidR="00B87DA8" w:rsidRPr="00CA15D5" w:rsidRDefault="00B87DA8" w:rsidP="00CA15D5">
      <w:pPr>
        <w:spacing w:after="160"/>
        <w:contextualSpacing/>
        <w:jc w:val="both"/>
        <w:rPr>
          <w:szCs w:val="24"/>
          <w:lang w:val="es-ES"/>
        </w:rPr>
      </w:pPr>
      <w:r w:rsidRPr="00CA15D5">
        <w:rPr>
          <w:szCs w:val="24"/>
          <w:lang w:val="es-ES"/>
        </w:rPr>
        <w:t>El cambio de domicilio será comunicado a la DGSFP de conformidad con lo establecido en la disposición adicional octava del ROSSEAR y los artículos 133.3 y 139.6 RDL 3/2020.</w:t>
      </w:r>
    </w:p>
    <w:p w14:paraId="2915AE13" w14:textId="77777777" w:rsidR="00B87DA8" w:rsidRPr="00CA15D5" w:rsidRDefault="00B87DA8" w:rsidP="00CA15D5">
      <w:pPr>
        <w:spacing w:after="160"/>
        <w:ind w:left="1080"/>
        <w:contextualSpacing/>
        <w:jc w:val="both"/>
        <w:rPr>
          <w:szCs w:val="24"/>
          <w:lang w:val="es-ES"/>
        </w:rPr>
      </w:pPr>
    </w:p>
    <w:p w14:paraId="3FC3E931" w14:textId="77777777" w:rsidR="00B87DA8" w:rsidRPr="00CA15D5" w:rsidRDefault="00B87DA8" w:rsidP="00CA15D5">
      <w:pPr>
        <w:spacing w:after="160"/>
        <w:contextualSpacing/>
        <w:jc w:val="both"/>
        <w:rPr>
          <w:szCs w:val="24"/>
          <w:lang w:val="es-ES"/>
        </w:rPr>
      </w:pPr>
      <w:r w:rsidRPr="00CA15D5">
        <w:rPr>
          <w:szCs w:val="24"/>
          <w:lang w:val="es-ES"/>
        </w:rPr>
        <w:t>Adicionalmente, la Sociedad Absorbida desarrolla su actividad a través de sus sucursales, que transmitirán en bloque su patrimonio a favor de la Sociedad Absorbente:</w:t>
      </w:r>
    </w:p>
    <w:p w14:paraId="59D5D1EB" w14:textId="77777777" w:rsidR="00B87DA8" w:rsidRPr="00CA15D5" w:rsidRDefault="00B87DA8" w:rsidP="00CA15D5">
      <w:pPr>
        <w:spacing w:after="160"/>
        <w:ind w:left="1080"/>
        <w:contextualSpacing/>
        <w:jc w:val="both"/>
        <w:rPr>
          <w:szCs w:val="24"/>
          <w:lang w:val="es-ES"/>
        </w:rPr>
      </w:pPr>
    </w:p>
    <w:p w14:paraId="7AE30B65" w14:textId="77777777" w:rsidR="00B87DA8" w:rsidRPr="00CA15D5" w:rsidRDefault="00B87DA8" w:rsidP="00CA15D5">
      <w:pPr>
        <w:spacing w:after="160"/>
        <w:contextualSpacing/>
        <w:jc w:val="both"/>
        <w:rPr>
          <w:szCs w:val="24"/>
          <w:lang w:val="es-ES"/>
        </w:rPr>
      </w:pPr>
      <w:r w:rsidRPr="00CA15D5">
        <w:rPr>
          <w:szCs w:val="24"/>
          <w:lang w:val="es-ES"/>
        </w:rPr>
        <w:t>ADMIRAL INTERMEDIARY SERVICES, S.A.U., (AIS), Sucursal en Francia (“</w:t>
      </w:r>
      <w:r w:rsidRPr="00CA15D5">
        <w:rPr>
          <w:b/>
          <w:bCs/>
          <w:szCs w:val="24"/>
          <w:lang w:val="es-ES"/>
        </w:rPr>
        <w:t>Sucursal en Francia</w:t>
      </w:r>
      <w:r w:rsidRPr="00CA15D5">
        <w:rPr>
          <w:szCs w:val="24"/>
          <w:lang w:val="es-ES"/>
        </w:rPr>
        <w:t>”), que opera bajo el nombre comercial “</w:t>
      </w:r>
      <w:proofErr w:type="spellStart"/>
      <w:r w:rsidRPr="00CA15D5">
        <w:rPr>
          <w:szCs w:val="24"/>
          <w:lang w:val="es-ES"/>
        </w:rPr>
        <w:t>L’olivier</w:t>
      </w:r>
      <w:proofErr w:type="spellEnd"/>
      <w:r w:rsidRPr="00CA15D5">
        <w:rPr>
          <w:szCs w:val="24"/>
          <w:lang w:val="es-ES"/>
        </w:rPr>
        <w:t xml:space="preserve"> </w:t>
      </w:r>
      <w:proofErr w:type="spellStart"/>
      <w:r w:rsidRPr="00CA15D5">
        <w:rPr>
          <w:szCs w:val="24"/>
          <w:lang w:val="es-ES"/>
        </w:rPr>
        <w:t>Assurance</w:t>
      </w:r>
      <w:proofErr w:type="spellEnd"/>
      <w:r w:rsidRPr="00CA15D5">
        <w:rPr>
          <w:szCs w:val="24"/>
          <w:lang w:val="es-ES"/>
        </w:rPr>
        <w:t xml:space="preserve">”, inscrita en el Registro Único de Intermediarios de Seguros, Banca y Finanza del “ORIAS” bajo el número AJ-0213, constituida en el año 2018, con domicilio social en Rue de </w:t>
      </w:r>
      <w:proofErr w:type="spellStart"/>
      <w:r w:rsidRPr="00CA15D5">
        <w:rPr>
          <w:szCs w:val="24"/>
          <w:lang w:val="es-ES"/>
        </w:rPr>
        <w:t>l'Abbé</w:t>
      </w:r>
      <w:proofErr w:type="spellEnd"/>
      <w:r w:rsidRPr="00CA15D5">
        <w:rPr>
          <w:szCs w:val="24"/>
          <w:lang w:val="es-ES"/>
        </w:rPr>
        <w:t xml:space="preserve"> Stahl, 59700, </w:t>
      </w:r>
      <w:proofErr w:type="spellStart"/>
      <w:r w:rsidRPr="00CA15D5">
        <w:rPr>
          <w:szCs w:val="24"/>
          <w:lang w:val="es-ES"/>
        </w:rPr>
        <w:t>Marcq</w:t>
      </w:r>
      <w:proofErr w:type="spellEnd"/>
      <w:r w:rsidRPr="00CA15D5">
        <w:rPr>
          <w:szCs w:val="24"/>
          <w:lang w:val="es-ES"/>
        </w:rPr>
        <w:t>-en-</w:t>
      </w:r>
      <w:proofErr w:type="spellStart"/>
      <w:r w:rsidRPr="00CA15D5">
        <w:rPr>
          <w:szCs w:val="24"/>
          <w:lang w:val="es-ES"/>
        </w:rPr>
        <w:t>Baroeul</w:t>
      </w:r>
      <w:proofErr w:type="spellEnd"/>
      <w:r w:rsidRPr="00CA15D5">
        <w:rPr>
          <w:szCs w:val="24"/>
          <w:lang w:val="es-ES"/>
        </w:rPr>
        <w:t>, Lille (Francia). La sucursal se encuentra inscrita en el Registro Comercial de Lille con el número único de registro e identificación 842 188 310.</w:t>
      </w:r>
    </w:p>
    <w:p w14:paraId="73391886" w14:textId="77777777" w:rsidR="00B87DA8" w:rsidRPr="00CA15D5" w:rsidRDefault="00B87DA8" w:rsidP="00CA15D5">
      <w:pPr>
        <w:spacing w:after="160"/>
        <w:ind w:left="1080"/>
        <w:contextualSpacing/>
        <w:jc w:val="both"/>
        <w:rPr>
          <w:szCs w:val="24"/>
          <w:lang w:val="es-ES"/>
        </w:rPr>
      </w:pPr>
    </w:p>
    <w:p w14:paraId="706ED02D" w14:textId="77777777" w:rsidR="00B87DA8" w:rsidRPr="00CA15D5" w:rsidRDefault="00B87DA8" w:rsidP="00CA15D5">
      <w:pPr>
        <w:spacing w:after="160"/>
        <w:contextualSpacing/>
        <w:jc w:val="both"/>
        <w:rPr>
          <w:szCs w:val="24"/>
          <w:lang w:val="es-ES"/>
        </w:rPr>
      </w:pPr>
      <w:r w:rsidRPr="00CA15D5">
        <w:rPr>
          <w:szCs w:val="24"/>
          <w:lang w:val="es-ES"/>
        </w:rPr>
        <w:lastRenderedPageBreak/>
        <w:t>ADMIRAL INTERMEDIARY SERVICES, S.A.U., (AIS), Sucursal en Italia (“</w:t>
      </w:r>
      <w:r w:rsidRPr="00CA15D5">
        <w:rPr>
          <w:b/>
          <w:bCs/>
          <w:szCs w:val="24"/>
          <w:lang w:val="es-ES"/>
        </w:rPr>
        <w:t>Sucursal en Italia</w:t>
      </w:r>
      <w:r w:rsidRPr="00CA15D5">
        <w:rPr>
          <w:szCs w:val="24"/>
          <w:lang w:val="es-ES"/>
        </w:rPr>
        <w:t xml:space="preserve">”), que opera bajo el nombre comercial “ConTe.it”, inscrita en el Registro de Intermediarios de Seguros del “IVASS” bajo el número UE00010496, constituida en el año 2018, con domicilio social en </w:t>
      </w:r>
      <w:proofErr w:type="spellStart"/>
      <w:r w:rsidRPr="00CA15D5">
        <w:rPr>
          <w:szCs w:val="24"/>
          <w:lang w:val="es-ES"/>
        </w:rPr>
        <w:t>Via</w:t>
      </w:r>
      <w:proofErr w:type="spellEnd"/>
      <w:r w:rsidRPr="00CA15D5">
        <w:rPr>
          <w:szCs w:val="24"/>
          <w:lang w:val="es-ES"/>
        </w:rPr>
        <w:t xml:space="preserve"> </w:t>
      </w:r>
      <w:proofErr w:type="spellStart"/>
      <w:r w:rsidRPr="00CA15D5">
        <w:rPr>
          <w:szCs w:val="24"/>
          <w:lang w:val="es-ES"/>
        </w:rPr>
        <w:t>della</w:t>
      </w:r>
      <w:proofErr w:type="spellEnd"/>
      <w:r w:rsidRPr="00CA15D5">
        <w:rPr>
          <w:szCs w:val="24"/>
          <w:lang w:val="es-ES"/>
        </w:rPr>
        <w:t xml:space="preserve"> </w:t>
      </w:r>
      <w:proofErr w:type="spellStart"/>
      <w:r w:rsidRPr="00CA15D5">
        <w:rPr>
          <w:szCs w:val="24"/>
          <w:lang w:val="es-ES"/>
        </w:rPr>
        <w:t>Bufalotta</w:t>
      </w:r>
      <w:proofErr w:type="spellEnd"/>
      <w:r w:rsidRPr="00CA15D5">
        <w:rPr>
          <w:szCs w:val="24"/>
          <w:lang w:val="es-ES"/>
        </w:rPr>
        <w:t>, 374 – 00139, Roma (Italia). La sucursal se encuentra inscrita en el Registro Comercial italiano con el número único de registro e identificación 1553228.</w:t>
      </w:r>
    </w:p>
    <w:p w14:paraId="66354628" w14:textId="77777777" w:rsidR="00B87DA8" w:rsidRPr="00CA15D5" w:rsidRDefault="00B87DA8" w:rsidP="00CA15D5">
      <w:pPr>
        <w:spacing w:after="160"/>
        <w:ind w:left="1080"/>
        <w:contextualSpacing/>
        <w:jc w:val="both"/>
        <w:rPr>
          <w:szCs w:val="24"/>
          <w:lang w:val="es-ES"/>
        </w:rPr>
      </w:pPr>
    </w:p>
    <w:p w14:paraId="24D15775" w14:textId="77777777" w:rsidR="00B87DA8" w:rsidRPr="00CA15D5" w:rsidRDefault="00B87DA8" w:rsidP="00CA15D5">
      <w:pPr>
        <w:spacing w:after="160"/>
        <w:contextualSpacing/>
        <w:jc w:val="both"/>
        <w:rPr>
          <w:szCs w:val="24"/>
          <w:lang w:val="es-ES"/>
        </w:rPr>
      </w:pPr>
      <w:r w:rsidRPr="00CA15D5">
        <w:rPr>
          <w:szCs w:val="24"/>
          <w:lang w:val="es-ES"/>
        </w:rPr>
        <w:t>Adicionalmente, la Sociedad Absorbida, a los efectos que más adelante se dirán, de forma coetánea o inmediatamente posterior a la aprobación de este Proyecto de Fusión, está analizando la posibilidad de constituir en Italia una sociedad de responsabilidad limitada italiana que operará bajo la estructura y sujeta al régimen de una agencia de dirección (</w:t>
      </w:r>
      <w:proofErr w:type="spellStart"/>
      <w:r w:rsidRPr="00CA15D5">
        <w:rPr>
          <w:i/>
          <w:iCs/>
          <w:szCs w:val="24"/>
          <w:lang w:val="es-ES"/>
        </w:rPr>
        <w:t>Agenzia</w:t>
      </w:r>
      <w:proofErr w:type="spellEnd"/>
      <w:r w:rsidRPr="00CA15D5">
        <w:rPr>
          <w:i/>
          <w:iCs/>
          <w:szCs w:val="24"/>
          <w:lang w:val="es-ES"/>
        </w:rPr>
        <w:t xml:space="preserve"> di </w:t>
      </w:r>
      <w:proofErr w:type="spellStart"/>
      <w:r w:rsidRPr="00CA15D5">
        <w:rPr>
          <w:i/>
          <w:iCs/>
          <w:szCs w:val="24"/>
          <w:lang w:val="es-ES"/>
        </w:rPr>
        <w:t>Direzione</w:t>
      </w:r>
      <w:proofErr w:type="spellEnd"/>
      <w:r w:rsidRPr="00CA15D5">
        <w:rPr>
          <w:szCs w:val="24"/>
          <w:lang w:val="es-ES"/>
        </w:rPr>
        <w:t>), previo cumplimiento de los requisitos mercantiles y regulatorios aplicables, por necesidades particulares de la operativa de la distribución de seguros en dicho país a efectos de evitar incertidumbres en su red de distribución y por los tomadores (la “</w:t>
      </w:r>
      <w:r w:rsidRPr="00CA15D5">
        <w:rPr>
          <w:b/>
          <w:bCs/>
          <w:szCs w:val="24"/>
          <w:lang w:val="es-ES"/>
        </w:rPr>
        <w:t>Filial Italiana</w:t>
      </w:r>
      <w:r w:rsidRPr="00CA15D5">
        <w:rPr>
          <w:szCs w:val="24"/>
          <w:lang w:val="es-ES"/>
        </w:rPr>
        <w:t>”).</w:t>
      </w:r>
    </w:p>
    <w:p w14:paraId="0E14DEB3" w14:textId="77777777" w:rsidR="00B87DA8" w:rsidRPr="00CA15D5" w:rsidRDefault="00B87DA8" w:rsidP="00CA15D5">
      <w:pPr>
        <w:spacing w:after="160"/>
        <w:ind w:left="1080"/>
        <w:contextualSpacing/>
        <w:jc w:val="both"/>
        <w:rPr>
          <w:szCs w:val="24"/>
          <w:lang w:val="es-ES"/>
        </w:rPr>
      </w:pPr>
    </w:p>
    <w:p w14:paraId="51B03F89" w14:textId="77777777" w:rsidR="00B87DA8" w:rsidRPr="00CA15D5" w:rsidRDefault="00B87DA8" w:rsidP="00CA15D5">
      <w:pPr>
        <w:numPr>
          <w:ilvl w:val="0"/>
          <w:numId w:val="19"/>
        </w:numPr>
        <w:spacing w:after="160"/>
        <w:ind w:hanging="720"/>
        <w:contextualSpacing/>
        <w:jc w:val="both"/>
        <w:rPr>
          <w:b/>
          <w:bCs/>
          <w:szCs w:val="24"/>
          <w:lang w:val="es-ES"/>
        </w:rPr>
      </w:pPr>
      <w:r w:rsidRPr="00CA15D5">
        <w:rPr>
          <w:b/>
          <w:bCs/>
          <w:szCs w:val="24"/>
          <w:lang w:val="es-ES"/>
        </w:rPr>
        <w:t>BALANCES DE FUSIÓN</w:t>
      </w:r>
    </w:p>
    <w:p w14:paraId="718241AF" w14:textId="77777777" w:rsidR="00B87DA8" w:rsidRPr="00CA15D5" w:rsidRDefault="00B87DA8" w:rsidP="00CA15D5">
      <w:pPr>
        <w:spacing w:after="160"/>
        <w:ind w:left="720"/>
        <w:contextualSpacing/>
        <w:jc w:val="both"/>
        <w:rPr>
          <w:b/>
          <w:bCs/>
          <w:szCs w:val="24"/>
          <w:lang w:val="es-ES"/>
        </w:rPr>
      </w:pPr>
    </w:p>
    <w:p w14:paraId="2D1ECB64" w14:textId="77777777" w:rsidR="00B87DA8" w:rsidRPr="00CA15D5" w:rsidRDefault="00B87DA8" w:rsidP="00CA15D5">
      <w:pPr>
        <w:spacing w:after="160"/>
        <w:contextualSpacing/>
        <w:jc w:val="both"/>
        <w:rPr>
          <w:szCs w:val="24"/>
          <w:lang w:val="es-ES"/>
        </w:rPr>
      </w:pPr>
      <w:r w:rsidRPr="00CA15D5">
        <w:rPr>
          <w:szCs w:val="24"/>
          <w:lang w:val="es-ES"/>
        </w:rPr>
        <w:t>Se considerarán como balances de fusión (“</w:t>
      </w:r>
      <w:r w:rsidRPr="00CA15D5">
        <w:rPr>
          <w:b/>
          <w:bCs/>
          <w:szCs w:val="24"/>
          <w:lang w:val="es-ES"/>
        </w:rPr>
        <w:t>Balances de Fusión</w:t>
      </w:r>
      <w:r w:rsidRPr="00CA15D5">
        <w:rPr>
          <w:szCs w:val="24"/>
          <w:lang w:val="es-ES"/>
        </w:rPr>
        <w:t xml:space="preserve">”), a los efectos de lo previsto en los artículos 43 y 44 LME, los respectivos balances de las Sociedades Participantes en la Fusión correspondientes al ejercicio cerrado el 31 de diciembre de 2025, que han sido formulados por los correspondientes órganos de administración de las Sociedades Participantes y que forman parte de las respectivas cuentas anuales de las Sociedades Participantes correspondientes al ejercicio cerrado a dicha fecha. </w:t>
      </w:r>
    </w:p>
    <w:p w14:paraId="116D75B3" w14:textId="77777777" w:rsidR="00B87DA8" w:rsidRPr="00CA15D5" w:rsidRDefault="00B87DA8" w:rsidP="00CA15D5">
      <w:pPr>
        <w:spacing w:after="160"/>
        <w:ind w:left="720"/>
        <w:contextualSpacing/>
        <w:jc w:val="both"/>
        <w:rPr>
          <w:szCs w:val="24"/>
          <w:lang w:val="es-ES"/>
        </w:rPr>
      </w:pPr>
    </w:p>
    <w:p w14:paraId="2F491A9C" w14:textId="77777777" w:rsidR="00B87DA8" w:rsidRPr="00CA15D5" w:rsidRDefault="00B87DA8" w:rsidP="00CA15D5">
      <w:pPr>
        <w:spacing w:after="160"/>
        <w:contextualSpacing/>
        <w:jc w:val="both"/>
        <w:rPr>
          <w:szCs w:val="24"/>
          <w:lang w:val="es-ES"/>
        </w:rPr>
      </w:pPr>
      <w:r w:rsidRPr="00CA15D5">
        <w:rPr>
          <w:szCs w:val="24"/>
          <w:lang w:val="es-ES"/>
        </w:rPr>
        <w:t>Sin perjuicio de que conforme a lo previsto en el segundo párrafo del artículo 44 LME no es necesaria la verificación ni la aprobación de los Balances de Fusión cuando no se requiera aprobación de la junta general, a los efectos del artículo 110.1.e) ROSSEAR se deja expresa constancia de que los Balances de Fusión de las Sociedades Participantes han sido sometidos a verificación por Deloitte Auditores, S.L., sociedad inscrita en el Registro Oficial de Auditores de Cuentas con el N.º S-0692, como auditores de cuentas de las Sociedades Participantes de conformidad con lo establecido en el artículo 44 de la LME.</w:t>
      </w:r>
    </w:p>
    <w:p w14:paraId="228EB08F" w14:textId="77777777" w:rsidR="00B87DA8" w:rsidRPr="00CA15D5" w:rsidRDefault="00B87DA8" w:rsidP="00CA15D5">
      <w:pPr>
        <w:spacing w:after="160"/>
        <w:ind w:left="720"/>
        <w:contextualSpacing/>
        <w:jc w:val="both"/>
        <w:rPr>
          <w:szCs w:val="24"/>
          <w:lang w:val="es-ES"/>
        </w:rPr>
      </w:pPr>
    </w:p>
    <w:p w14:paraId="57182847" w14:textId="77777777" w:rsidR="00B87DA8" w:rsidRPr="00CA15D5" w:rsidRDefault="00B87DA8" w:rsidP="00CA15D5">
      <w:pPr>
        <w:spacing w:after="160"/>
        <w:contextualSpacing/>
        <w:jc w:val="both"/>
        <w:rPr>
          <w:szCs w:val="24"/>
          <w:lang w:val="es-ES"/>
        </w:rPr>
      </w:pPr>
      <w:r w:rsidRPr="00CA15D5">
        <w:rPr>
          <w:szCs w:val="24"/>
          <w:lang w:val="es-ES"/>
        </w:rPr>
        <w:t xml:space="preserve">Se acompañan como </w:t>
      </w:r>
      <w:r w:rsidRPr="00CA15D5">
        <w:rPr>
          <w:b/>
          <w:bCs/>
          <w:szCs w:val="24"/>
          <w:u w:val="single"/>
          <w:lang w:val="es-ES"/>
        </w:rPr>
        <w:t>Anexo II</w:t>
      </w:r>
      <w:r w:rsidRPr="00CA15D5">
        <w:rPr>
          <w:szCs w:val="24"/>
          <w:lang w:val="es-ES"/>
        </w:rPr>
        <w:t xml:space="preserve"> los Balances de Fusión. </w:t>
      </w:r>
    </w:p>
    <w:p w14:paraId="54CE0CD3" w14:textId="77777777" w:rsidR="00B87DA8" w:rsidRPr="00CA15D5" w:rsidRDefault="00B87DA8" w:rsidP="00CA15D5">
      <w:pPr>
        <w:spacing w:after="160"/>
        <w:ind w:left="709"/>
        <w:contextualSpacing/>
        <w:jc w:val="both"/>
        <w:rPr>
          <w:szCs w:val="24"/>
          <w:lang w:val="es-ES"/>
        </w:rPr>
      </w:pPr>
    </w:p>
    <w:p w14:paraId="7FCEDD1B" w14:textId="77777777" w:rsidR="00B87DA8" w:rsidRPr="00CA15D5" w:rsidRDefault="00B87DA8" w:rsidP="00CA15D5">
      <w:pPr>
        <w:numPr>
          <w:ilvl w:val="0"/>
          <w:numId w:val="19"/>
        </w:numPr>
        <w:spacing w:after="160"/>
        <w:ind w:hanging="720"/>
        <w:contextualSpacing/>
        <w:jc w:val="both"/>
        <w:rPr>
          <w:b/>
          <w:bCs/>
          <w:szCs w:val="24"/>
          <w:lang w:val="es-ES"/>
        </w:rPr>
      </w:pPr>
      <w:r w:rsidRPr="00CA15D5">
        <w:rPr>
          <w:b/>
          <w:bCs/>
          <w:szCs w:val="24"/>
          <w:lang w:val="es-ES"/>
        </w:rPr>
        <w:t>MODIFICACIÓN Y CALENDARIO INDICATIVO DE LA FUSIÓN (Art. 4.1.2º LME)</w:t>
      </w:r>
    </w:p>
    <w:p w14:paraId="3E054893" w14:textId="77777777" w:rsidR="00B87DA8" w:rsidRPr="00CA15D5" w:rsidRDefault="00B87DA8" w:rsidP="00CA15D5">
      <w:pPr>
        <w:spacing w:after="160"/>
        <w:ind w:left="720"/>
        <w:contextualSpacing/>
        <w:jc w:val="both"/>
        <w:rPr>
          <w:szCs w:val="24"/>
          <w:lang w:val="es-ES"/>
        </w:rPr>
      </w:pPr>
    </w:p>
    <w:p w14:paraId="6BBDFB4D" w14:textId="77777777" w:rsidR="00B87DA8" w:rsidRPr="00CA15D5" w:rsidRDefault="00B87DA8" w:rsidP="00CA15D5">
      <w:pPr>
        <w:spacing w:after="160"/>
        <w:contextualSpacing/>
        <w:jc w:val="both"/>
        <w:rPr>
          <w:szCs w:val="24"/>
          <w:lang w:val="es-ES"/>
        </w:rPr>
      </w:pPr>
      <w:r w:rsidRPr="00CA15D5">
        <w:rPr>
          <w:szCs w:val="24"/>
          <w:lang w:val="es-ES"/>
        </w:rPr>
        <w:t xml:space="preserve">La modificación estructural proyectada consiste en una fusión por absorción entre sociedades íntegramente participadas, de forma directa, por el mismo accionista único, siendo una fusión especial prevista en el artículo 56.1 LME y sometida al régimen de los artículos 9 y 56.1 LME, a la cual le resultan de aplicación como consecuencia los artículos 53.1 y 55, al ser una fusión asimilada a la fusión por absorción de sociedades íntegramente participadas. </w:t>
      </w:r>
    </w:p>
    <w:p w14:paraId="36F5A4E4" w14:textId="77777777" w:rsidR="00B87DA8" w:rsidRPr="00CA15D5" w:rsidRDefault="00B87DA8" w:rsidP="00CA15D5">
      <w:pPr>
        <w:spacing w:after="160"/>
        <w:contextualSpacing/>
        <w:jc w:val="both"/>
        <w:rPr>
          <w:szCs w:val="24"/>
          <w:lang w:val="es-ES"/>
        </w:rPr>
      </w:pPr>
      <w:r w:rsidRPr="00CA15D5">
        <w:rPr>
          <w:szCs w:val="24"/>
          <w:lang w:val="es-ES"/>
        </w:rPr>
        <w:lastRenderedPageBreak/>
        <w:t>La Fusión se llevará a cabo a través del procedimiento previsto en los artículos 55 y 53.1 LME (al ser una fusión gemelar o entre sociedades hermanas, asimilada a la absorción de sociedades íntegramente participadas), por lo que no resulta necesaria la aprobación de la Fusión por el accionista único, en ejercicio de las competencias de la Junta General de la Sociedad Absorbente ni de la Sociedad Absorbida.</w:t>
      </w:r>
    </w:p>
    <w:p w14:paraId="08C3942D" w14:textId="77777777" w:rsidR="00B87DA8" w:rsidRPr="00CA15D5" w:rsidRDefault="00B87DA8" w:rsidP="00CA15D5">
      <w:pPr>
        <w:spacing w:after="160"/>
        <w:ind w:left="720"/>
        <w:contextualSpacing/>
        <w:jc w:val="both"/>
        <w:rPr>
          <w:szCs w:val="24"/>
          <w:lang w:val="es-ES"/>
        </w:rPr>
      </w:pPr>
    </w:p>
    <w:p w14:paraId="5218318D" w14:textId="77777777" w:rsidR="00B87DA8" w:rsidRPr="00CA15D5" w:rsidRDefault="00B87DA8" w:rsidP="00CA15D5">
      <w:pPr>
        <w:spacing w:after="160"/>
        <w:contextualSpacing/>
        <w:jc w:val="both"/>
        <w:rPr>
          <w:szCs w:val="24"/>
          <w:lang w:val="es-ES"/>
        </w:rPr>
      </w:pPr>
      <w:r w:rsidRPr="00CA15D5">
        <w:rPr>
          <w:szCs w:val="24"/>
          <w:lang w:val="es-ES"/>
        </w:rPr>
        <w:t>Los Consejos de Administración de cada una de las Sociedades Participantes en la Fusión han formulado y aprobado los Balances, el presente Proyecto de Fusión incluyendo sus anexos, la operación de Fusión, así como el acogimiento al régimen fiscal aplicable.</w:t>
      </w:r>
    </w:p>
    <w:p w14:paraId="0531D8B3" w14:textId="77777777" w:rsidR="00B87DA8" w:rsidRPr="00CA15D5" w:rsidRDefault="00B87DA8" w:rsidP="00CA15D5">
      <w:pPr>
        <w:spacing w:after="160"/>
        <w:ind w:left="720"/>
        <w:contextualSpacing/>
        <w:jc w:val="both"/>
        <w:rPr>
          <w:szCs w:val="24"/>
          <w:lang w:val="es-ES"/>
        </w:rPr>
      </w:pPr>
    </w:p>
    <w:p w14:paraId="645302C6" w14:textId="77777777" w:rsidR="00B87DA8" w:rsidRPr="00CA15D5" w:rsidRDefault="00B87DA8" w:rsidP="00CA15D5">
      <w:pPr>
        <w:spacing w:after="160"/>
        <w:contextualSpacing/>
        <w:jc w:val="both"/>
        <w:rPr>
          <w:szCs w:val="24"/>
          <w:lang w:val="es-ES"/>
        </w:rPr>
      </w:pPr>
      <w:r w:rsidRPr="00CA15D5">
        <w:rPr>
          <w:szCs w:val="24"/>
          <w:lang w:val="es-ES"/>
        </w:rPr>
        <w:t>Desde ese momento, se tramitará la oportuna solicitud al Ministerio de Economía, Comercio y Empresa para que autorice la Fusión de las Sociedades Participantes conforme a lo dispuesto en el artículo 91 LOSSEAR, aportando a la Dirección General de Seguros y Fondos de Pensiones la información requerida en el artículo 110 ROSSEAR.</w:t>
      </w:r>
    </w:p>
    <w:p w14:paraId="5F9E4529" w14:textId="77777777" w:rsidR="00B87DA8" w:rsidRPr="00CA15D5" w:rsidRDefault="00B87DA8" w:rsidP="00CA15D5">
      <w:pPr>
        <w:spacing w:after="160"/>
        <w:contextualSpacing/>
        <w:jc w:val="both"/>
        <w:rPr>
          <w:szCs w:val="24"/>
          <w:lang w:val="es-ES"/>
        </w:rPr>
      </w:pPr>
    </w:p>
    <w:p w14:paraId="55D030ED" w14:textId="77777777" w:rsidR="00B87DA8" w:rsidRPr="00CA15D5" w:rsidRDefault="00B87DA8" w:rsidP="00CA15D5">
      <w:pPr>
        <w:spacing w:after="160"/>
        <w:contextualSpacing/>
        <w:jc w:val="both"/>
        <w:rPr>
          <w:szCs w:val="24"/>
          <w:lang w:val="es-ES"/>
        </w:rPr>
      </w:pPr>
      <w:r w:rsidRPr="00CA15D5">
        <w:rPr>
          <w:szCs w:val="24"/>
          <w:lang w:val="es-ES"/>
        </w:rPr>
        <w:t xml:space="preserve">A los efectos de lo previsto en el artículo 110.2 ROSSEAR, presentada dicha documentación junto con la solicitud de autorización, y contando con la preceptiva resolución de la Dirección General de Seguros y Fondos de Pensiones, se acordará la apertura del período de información pública mediante la publicación de anuncios en uno de los diarios de mayor difusión de Madrid, donde las Sociedades Participantes en la Fusión tienen su domicilio social, y en otro diario de ámbito nacional, dando a conocer el Proyecto de Fusión y advirtiendo a los tomadores de su derecho a comunicar a la Dirección General de Seguros y Fondos de Pensiones, en el plazo de un mes desde la última publicación, las razones que, en su caso, pudieran tener para estar disconformes con la Fusión. </w:t>
      </w:r>
    </w:p>
    <w:p w14:paraId="2EF1D7AE" w14:textId="77777777" w:rsidR="00B87DA8" w:rsidRPr="00CA15D5" w:rsidRDefault="00B87DA8" w:rsidP="00CA15D5">
      <w:pPr>
        <w:spacing w:after="160"/>
        <w:ind w:left="720"/>
        <w:contextualSpacing/>
        <w:jc w:val="both"/>
        <w:rPr>
          <w:szCs w:val="24"/>
          <w:lang w:val="es-ES"/>
        </w:rPr>
      </w:pPr>
    </w:p>
    <w:p w14:paraId="0EEBF10D" w14:textId="77777777" w:rsidR="00B87DA8" w:rsidRPr="00CA15D5" w:rsidRDefault="00B87DA8" w:rsidP="00CA15D5">
      <w:pPr>
        <w:spacing w:after="160"/>
        <w:contextualSpacing/>
        <w:jc w:val="both"/>
        <w:rPr>
          <w:szCs w:val="24"/>
          <w:lang w:val="es-ES"/>
        </w:rPr>
      </w:pPr>
      <w:r w:rsidRPr="00CA15D5">
        <w:rPr>
          <w:szCs w:val="24"/>
          <w:lang w:val="es-ES"/>
        </w:rPr>
        <w:t xml:space="preserve">Una vez recibida la autorización exigida por el artículo 91 LOSSEAR, se procederá a la formalización de la Fusión mediante la elevación a escritura pública de los acuerdos sociales adoptados por las Sociedades Participantes en la Fusión, que será otorgada por estas con los requisitos exigidos por la normativa aplicable. Dicha fecha será considerada la fecha de formalización de la Fusión. </w:t>
      </w:r>
    </w:p>
    <w:p w14:paraId="0C8B341A" w14:textId="77777777" w:rsidR="00B87DA8" w:rsidRPr="00CA15D5" w:rsidRDefault="00B87DA8" w:rsidP="00CA15D5">
      <w:pPr>
        <w:spacing w:after="160"/>
        <w:ind w:left="720"/>
        <w:contextualSpacing/>
        <w:jc w:val="both"/>
        <w:rPr>
          <w:szCs w:val="24"/>
          <w:lang w:val="es-ES"/>
        </w:rPr>
      </w:pPr>
    </w:p>
    <w:p w14:paraId="535A7BA5" w14:textId="77777777" w:rsidR="00B87DA8" w:rsidRPr="00CA15D5" w:rsidRDefault="00B87DA8" w:rsidP="00CA15D5">
      <w:pPr>
        <w:spacing w:after="160"/>
        <w:contextualSpacing/>
        <w:jc w:val="both"/>
        <w:rPr>
          <w:szCs w:val="24"/>
          <w:lang w:val="es-ES"/>
        </w:rPr>
      </w:pPr>
      <w:r w:rsidRPr="00CA15D5">
        <w:rPr>
          <w:szCs w:val="24"/>
          <w:lang w:val="es-ES"/>
        </w:rPr>
        <w:t>En cualquier caso, a los efectos de lo previsto en el artículo 55 LME, con una antelación mínima de un mes a la fecha de formalización de la Fusión, se publicará el Proyecto de Fusión por las Sociedades Participantes con un anuncio en sus respectivas páginas web en el que se hará constar el derecho que corresponde a los socios de la Sociedad Absorbente y a los acreedores de las Sociedades Participantes en la Fusión a examinar en el domicilio social el Proyecto de Fusión, las cuentas anuales y los informes de gestión de los últimos tres ejercicios, así como los Balances de Fusión, todo ello en los términos previstos en el citado artículo 55 LME.</w:t>
      </w:r>
    </w:p>
    <w:p w14:paraId="51465D9B" w14:textId="77777777" w:rsidR="00B87DA8" w:rsidRPr="00CA15D5" w:rsidRDefault="00B87DA8" w:rsidP="00CA15D5">
      <w:pPr>
        <w:spacing w:after="160"/>
        <w:ind w:left="720"/>
        <w:contextualSpacing/>
        <w:jc w:val="both"/>
        <w:rPr>
          <w:szCs w:val="24"/>
          <w:lang w:val="es-ES"/>
        </w:rPr>
      </w:pPr>
    </w:p>
    <w:p w14:paraId="1381D608" w14:textId="77777777" w:rsidR="00B87DA8" w:rsidRPr="00CA15D5" w:rsidRDefault="00B87DA8" w:rsidP="00CA15D5">
      <w:pPr>
        <w:spacing w:after="160"/>
        <w:contextualSpacing/>
        <w:jc w:val="both"/>
        <w:rPr>
          <w:szCs w:val="24"/>
          <w:lang w:val="es-ES"/>
        </w:rPr>
      </w:pPr>
      <w:r w:rsidRPr="00CA15D5">
        <w:rPr>
          <w:szCs w:val="24"/>
          <w:lang w:val="es-ES"/>
        </w:rPr>
        <w:t xml:space="preserve">La formalización de la Fusión queda en todo caso sujeta y condicionada a la efectiva obtención de la autorización administrativa del </w:t>
      </w:r>
      <w:proofErr w:type="gramStart"/>
      <w:r w:rsidRPr="00CA15D5">
        <w:rPr>
          <w:szCs w:val="24"/>
          <w:lang w:val="es-ES"/>
        </w:rPr>
        <w:t>Ministro</w:t>
      </w:r>
      <w:proofErr w:type="gramEnd"/>
      <w:r w:rsidRPr="00CA15D5">
        <w:rPr>
          <w:szCs w:val="24"/>
          <w:lang w:val="es-ES"/>
        </w:rPr>
        <w:t xml:space="preserve"> de Economía, Comercio y Empresa prevista en </w:t>
      </w:r>
      <w:r w:rsidRPr="00CA15D5">
        <w:rPr>
          <w:szCs w:val="24"/>
          <w:lang w:val="es-ES"/>
        </w:rPr>
        <w:lastRenderedPageBreak/>
        <w:t>el artículo 91 LOSSEAR, conforme a lo indicado en la Sección 20 del presente Proyecto de Fusión.</w:t>
      </w:r>
    </w:p>
    <w:p w14:paraId="76FCB8C2" w14:textId="77777777" w:rsidR="00B87DA8" w:rsidRPr="00CA15D5" w:rsidRDefault="00B87DA8" w:rsidP="00CA15D5">
      <w:pPr>
        <w:spacing w:after="160"/>
        <w:ind w:left="720"/>
        <w:contextualSpacing/>
        <w:jc w:val="both"/>
        <w:rPr>
          <w:szCs w:val="24"/>
          <w:lang w:val="es-ES"/>
        </w:rPr>
      </w:pPr>
    </w:p>
    <w:p w14:paraId="5848F218" w14:textId="77777777" w:rsidR="00B87DA8" w:rsidRPr="00CA15D5" w:rsidRDefault="00B87DA8" w:rsidP="00CA15D5">
      <w:pPr>
        <w:spacing w:after="160"/>
        <w:contextualSpacing/>
        <w:jc w:val="both"/>
        <w:rPr>
          <w:szCs w:val="24"/>
          <w:lang w:val="es-ES"/>
        </w:rPr>
      </w:pPr>
      <w:r w:rsidRPr="00CA15D5">
        <w:rPr>
          <w:szCs w:val="24"/>
          <w:lang w:val="es-ES"/>
        </w:rPr>
        <w:t xml:space="preserve">Todos los plazos anteriormente indicados pueden experimentar modificaciones en la práctica, siempre dentro de los límites establecidos en la LME y en el ROSSEAR. </w:t>
      </w:r>
    </w:p>
    <w:p w14:paraId="017C7A3C" w14:textId="77777777" w:rsidR="00B87DA8" w:rsidRPr="00CA15D5" w:rsidRDefault="00B87DA8" w:rsidP="00CA15D5">
      <w:pPr>
        <w:spacing w:after="160"/>
        <w:ind w:left="720"/>
        <w:contextualSpacing/>
        <w:jc w:val="both"/>
        <w:rPr>
          <w:szCs w:val="24"/>
          <w:lang w:val="es-ES"/>
        </w:rPr>
      </w:pPr>
    </w:p>
    <w:p w14:paraId="1F69F869" w14:textId="77777777" w:rsidR="00B87DA8" w:rsidRPr="00CA15D5" w:rsidRDefault="00B87DA8" w:rsidP="00CA15D5">
      <w:pPr>
        <w:spacing w:after="160"/>
        <w:contextualSpacing/>
        <w:jc w:val="both"/>
        <w:rPr>
          <w:szCs w:val="24"/>
          <w:lang w:val="es-ES"/>
        </w:rPr>
      </w:pPr>
      <w:r w:rsidRPr="00CA15D5">
        <w:rPr>
          <w:szCs w:val="24"/>
          <w:lang w:val="es-ES"/>
        </w:rPr>
        <w:t>A meros efectos informativos, y en cumplimiento con lo dispuesto en el artículo 4.1. 2º LME se adjunta a continuación un calendario tentativo de la Fusión considerando que, de conformidad con lo previsto en el artículo 55 de la LME, la Fusión se aprobará sin necesidad de someterla a la aprobación de la junta general de accionistas de la Sociedad Absorbente:</w:t>
      </w:r>
    </w:p>
    <w:p w14:paraId="3F6B98DB" w14:textId="77777777" w:rsidR="00B87DA8" w:rsidRPr="00CA15D5" w:rsidRDefault="00B87DA8" w:rsidP="00CA15D5">
      <w:pPr>
        <w:spacing w:after="160"/>
        <w:ind w:left="720"/>
        <w:contextualSpacing/>
        <w:jc w:val="both"/>
        <w:rPr>
          <w:szCs w:val="24"/>
          <w:lang w:val="es-ES"/>
        </w:rPr>
      </w:pPr>
    </w:p>
    <w:tbl>
      <w:tblPr>
        <w:tblStyle w:val="Tablaconcuadrcula"/>
        <w:tblW w:w="0" w:type="auto"/>
        <w:tblInd w:w="720" w:type="dxa"/>
        <w:tblLook w:val="04A0" w:firstRow="1" w:lastRow="0" w:firstColumn="1" w:lastColumn="0" w:noHBand="0" w:noVBand="1"/>
      </w:tblPr>
      <w:tblGrid>
        <w:gridCol w:w="6563"/>
        <w:gridCol w:w="1733"/>
      </w:tblGrid>
      <w:tr w:rsidR="00B87DA8" w:rsidRPr="00B87DA8" w14:paraId="670F369F" w14:textId="77777777" w:rsidTr="00A059B7">
        <w:tc>
          <w:tcPr>
            <w:tcW w:w="6563" w:type="dxa"/>
            <w:vAlign w:val="center"/>
          </w:tcPr>
          <w:p w14:paraId="1DD3DE31" w14:textId="77777777" w:rsidR="00B87DA8" w:rsidRPr="00CA15D5" w:rsidRDefault="00B87DA8" w:rsidP="00CA15D5">
            <w:pPr>
              <w:spacing w:before="240" w:after="240"/>
              <w:contextualSpacing/>
              <w:rPr>
                <w:szCs w:val="24"/>
                <w:lang w:val="es-ES"/>
              </w:rPr>
            </w:pPr>
            <w:r w:rsidRPr="00CA15D5">
              <w:rPr>
                <w:szCs w:val="24"/>
                <w:lang w:val="es-ES_tradnl"/>
              </w:rPr>
              <w:t>Balance de Fusión.</w:t>
            </w:r>
          </w:p>
        </w:tc>
        <w:tc>
          <w:tcPr>
            <w:tcW w:w="1733" w:type="dxa"/>
            <w:vAlign w:val="center"/>
          </w:tcPr>
          <w:p w14:paraId="63FFCAAD" w14:textId="77777777" w:rsidR="00B87DA8" w:rsidRPr="00CA15D5" w:rsidRDefault="00B87DA8" w:rsidP="00CA15D5">
            <w:pPr>
              <w:spacing w:before="240" w:after="240"/>
              <w:contextualSpacing/>
              <w:jc w:val="center"/>
              <w:rPr>
                <w:szCs w:val="24"/>
                <w:lang w:val="es-ES"/>
              </w:rPr>
            </w:pPr>
            <w:r w:rsidRPr="00CA15D5">
              <w:rPr>
                <w:szCs w:val="24"/>
                <w:lang w:val="es-ES_tradnl"/>
              </w:rPr>
              <w:t>31/12/2025</w:t>
            </w:r>
          </w:p>
        </w:tc>
      </w:tr>
      <w:tr w:rsidR="00B87DA8" w:rsidRPr="00B87DA8" w14:paraId="5FC4CCC0" w14:textId="77777777" w:rsidTr="00A059B7">
        <w:tc>
          <w:tcPr>
            <w:tcW w:w="6563" w:type="dxa"/>
            <w:vAlign w:val="center"/>
          </w:tcPr>
          <w:p w14:paraId="4DAF618E" w14:textId="77777777" w:rsidR="00B87DA8" w:rsidRPr="00CA15D5" w:rsidRDefault="00B87DA8" w:rsidP="00CA15D5">
            <w:pPr>
              <w:spacing w:before="240" w:after="240"/>
              <w:contextualSpacing/>
              <w:rPr>
                <w:szCs w:val="24"/>
                <w:lang w:val="es-ES_tradnl"/>
              </w:rPr>
            </w:pPr>
            <w:r w:rsidRPr="00CA15D5">
              <w:rPr>
                <w:szCs w:val="24"/>
                <w:lang w:val="es-ES_tradnl"/>
              </w:rPr>
              <w:t>Fecha de efectos contables de la Fusión.</w:t>
            </w:r>
          </w:p>
        </w:tc>
        <w:tc>
          <w:tcPr>
            <w:tcW w:w="1733" w:type="dxa"/>
            <w:vAlign w:val="center"/>
          </w:tcPr>
          <w:p w14:paraId="5C3E5EB9" w14:textId="77777777" w:rsidR="00B87DA8" w:rsidRPr="00CA15D5" w:rsidRDefault="00B87DA8" w:rsidP="00CA15D5">
            <w:pPr>
              <w:spacing w:before="240" w:after="240"/>
              <w:contextualSpacing/>
              <w:jc w:val="center"/>
              <w:rPr>
                <w:szCs w:val="24"/>
                <w:lang w:val="es-ES_tradnl"/>
              </w:rPr>
            </w:pPr>
            <w:r w:rsidRPr="00CA15D5">
              <w:rPr>
                <w:szCs w:val="24"/>
                <w:lang w:val="es-ES_tradnl"/>
              </w:rPr>
              <w:t>01/01/2026</w:t>
            </w:r>
          </w:p>
        </w:tc>
      </w:tr>
      <w:tr w:rsidR="00B87DA8" w:rsidRPr="00B87DA8" w14:paraId="5DE09E29" w14:textId="77777777" w:rsidTr="00A059B7">
        <w:tc>
          <w:tcPr>
            <w:tcW w:w="6563" w:type="dxa"/>
            <w:vAlign w:val="center"/>
          </w:tcPr>
          <w:p w14:paraId="1BEFD105" w14:textId="77777777" w:rsidR="00B87DA8" w:rsidRPr="00CA15D5" w:rsidRDefault="00B87DA8" w:rsidP="00CA15D5">
            <w:pPr>
              <w:spacing w:before="240" w:after="240"/>
              <w:contextualSpacing/>
              <w:rPr>
                <w:szCs w:val="24"/>
                <w:lang w:val="es-ES_tradnl"/>
              </w:rPr>
            </w:pPr>
            <w:r w:rsidRPr="00CA15D5">
              <w:rPr>
                <w:szCs w:val="24"/>
                <w:lang w:val="es-ES_tradnl"/>
              </w:rPr>
              <w:t>Obtención de los certificados de estar al corriente en el cumplimiento de las obligaciones tributarias y frente a la Seguridad Social (se adjuntan al presente Proyecto de Fusión).</w:t>
            </w:r>
          </w:p>
        </w:tc>
        <w:tc>
          <w:tcPr>
            <w:tcW w:w="1733" w:type="dxa"/>
            <w:vAlign w:val="center"/>
          </w:tcPr>
          <w:p w14:paraId="5A327C8A" w14:textId="77777777" w:rsidR="00B87DA8" w:rsidRPr="00CA15D5" w:rsidRDefault="00B87DA8" w:rsidP="00CA15D5">
            <w:pPr>
              <w:spacing w:before="240" w:after="240"/>
              <w:contextualSpacing/>
              <w:jc w:val="center"/>
              <w:rPr>
                <w:szCs w:val="24"/>
                <w:lang w:val="es-ES_tradnl"/>
              </w:rPr>
            </w:pPr>
            <w:r w:rsidRPr="00CA15D5">
              <w:rPr>
                <w:szCs w:val="24"/>
                <w:lang w:val="es-ES_tradnl"/>
              </w:rPr>
              <w:t>10/02/2026</w:t>
            </w:r>
          </w:p>
        </w:tc>
      </w:tr>
      <w:tr w:rsidR="00B87DA8" w:rsidRPr="00B87DA8" w14:paraId="01F0430B" w14:textId="77777777" w:rsidTr="00A059B7">
        <w:tc>
          <w:tcPr>
            <w:tcW w:w="6563" w:type="dxa"/>
            <w:vAlign w:val="center"/>
          </w:tcPr>
          <w:p w14:paraId="0D20778B" w14:textId="77777777" w:rsidR="00B87DA8" w:rsidRPr="00CA15D5" w:rsidRDefault="00B87DA8" w:rsidP="00CA15D5">
            <w:pPr>
              <w:spacing w:before="240" w:after="240"/>
              <w:contextualSpacing/>
              <w:rPr>
                <w:szCs w:val="24"/>
                <w:lang w:val="es-ES_tradnl"/>
              </w:rPr>
            </w:pPr>
            <w:r w:rsidRPr="00CA15D5">
              <w:rPr>
                <w:szCs w:val="24"/>
                <w:lang w:val="es-ES"/>
              </w:rPr>
              <w:t>Emisión de los informes de auditoría de los auditores de cuentas sobre los Balances de Fusión.</w:t>
            </w:r>
          </w:p>
        </w:tc>
        <w:tc>
          <w:tcPr>
            <w:tcW w:w="1733" w:type="dxa"/>
            <w:vAlign w:val="center"/>
          </w:tcPr>
          <w:p w14:paraId="3196D182" w14:textId="77777777" w:rsidR="00B87DA8" w:rsidRPr="00CA15D5" w:rsidRDefault="00B87DA8" w:rsidP="00CA15D5">
            <w:pPr>
              <w:spacing w:before="240" w:after="240"/>
              <w:contextualSpacing/>
              <w:jc w:val="center"/>
              <w:rPr>
                <w:szCs w:val="24"/>
                <w:lang w:val="es-ES_tradnl"/>
              </w:rPr>
            </w:pPr>
            <w:r w:rsidRPr="00CA15D5">
              <w:rPr>
                <w:szCs w:val="24"/>
                <w:lang w:val="es-ES_tradnl"/>
              </w:rPr>
              <w:t>26/02/2026</w:t>
            </w:r>
          </w:p>
        </w:tc>
      </w:tr>
      <w:tr w:rsidR="00B87DA8" w:rsidRPr="00B87DA8" w14:paraId="7E5EF7A4" w14:textId="77777777" w:rsidTr="00A059B7">
        <w:tc>
          <w:tcPr>
            <w:tcW w:w="6563" w:type="dxa"/>
            <w:vAlign w:val="center"/>
          </w:tcPr>
          <w:p w14:paraId="7948B62A" w14:textId="77777777" w:rsidR="00B87DA8" w:rsidRPr="00CA15D5" w:rsidRDefault="00B87DA8" w:rsidP="00CA15D5">
            <w:pPr>
              <w:spacing w:before="240" w:after="240"/>
              <w:contextualSpacing/>
              <w:rPr>
                <w:szCs w:val="24"/>
                <w:lang w:val="es-ES"/>
              </w:rPr>
            </w:pPr>
            <w:r w:rsidRPr="00CA15D5">
              <w:rPr>
                <w:szCs w:val="24"/>
                <w:lang w:val="es-ES"/>
              </w:rPr>
              <w:t xml:space="preserve">Modificación del cambio de domicilio de AIS y otorgamiento de la correspondiente escritura pública. </w:t>
            </w:r>
          </w:p>
        </w:tc>
        <w:tc>
          <w:tcPr>
            <w:tcW w:w="1733" w:type="dxa"/>
            <w:vAlign w:val="center"/>
          </w:tcPr>
          <w:p w14:paraId="758159CD" w14:textId="77777777" w:rsidR="00B87DA8" w:rsidRPr="00CA15D5" w:rsidRDefault="00B87DA8" w:rsidP="00CA15D5">
            <w:pPr>
              <w:spacing w:before="240" w:after="240"/>
              <w:contextualSpacing/>
              <w:jc w:val="center"/>
              <w:rPr>
                <w:szCs w:val="24"/>
                <w:lang w:val="es-ES_tradnl"/>
              </w:rPr>
            </w:pPr>
            <w:r w:rsidRPr="00CA15D5">
              <w:rPr>
                <w:szCs w:val="24"/>
                <w:lang w:val="es-ES_tradnl"/>
              </w:rPr>
              <w:t>26/02/2026</w:t>
            </w:r>
          </w:p>
        </w:tc>
      </w:tr>
      <w:tr w:rsidR="00B87DA8" w:rsidRPr="00B87DA8" w14:paraId="16F3D621" w14:textId="77777777" w:rsidTr="00A059B7">
        <w:tc>
          <w:tcPr>
            <w:tcW w:w="6563" w:type="dxa"/>
          </w:tcPr>
          <w:p w14:paraId="1C4F5D9E" w14:textId="77777777" w:rsidR="00B87DA8" w:rsidRPr="00CA15D5" w:rsidRDefault="00B87DA8" w:rsidP="00CA15D5">
            <w:pPr>
              <w:spacing w:before="240" w:after="240"/>
              <w:contextualSpacing/>
              <w:rPr>
                <w:szCs w:val="24"/>
                <w:lang w:val="es-ES"/>
              </w:rPr>
            </w:pPr>
            <w:r w:rsidRPr="00CA15D5">
              <w:rPr>
                <w:szCs w:val="24"/>
                <w:lang w:val="es-ES"/>
              </w:rPr>
              <w:t>Solicitud de inscripción del cambio de domicilio ante el Registro Mercantil.</w:t>
            </w:r>
          </w:p>
        </w:tc>
        <w:tc>
          <w:tcPr>
            <w:tcW w:w="1733" w:type="dxa"/>
          </w:tcPr>
          <w:p w14:paraId="2BC746CC" w14:textId="77777777" w:rsidR="00B87DA8" w:rsidRPr="00CA15D5" w:rsidDel="0009595D" w:rsidRDefault="00B87DA8" w:rsidP="00CA15D5">
            <w:pPr>
              <w:spacing w:before="240" w:after="240"/>
              <w:contextualSpacing/>
              <w:jc w:val="center"/>
              <w:rPr>
                <w:szCs w:val="24"/>
                <w:lang w:val="es-ES_tradnl"/>
              </w:rPr>
            </w:pPr>
            <w:r w:rsidRPr="00CA15D5">
              <w:rPr>
                <w:szCs w:val="24"/>
                <w:lang w:val="es-ES_tradnl"/>
              </w:rPr>
              <w:t>27/02/2026</w:t>
            </w:r>
          </w:p>
        </w:tc>
      </w:tr>
      <w:tr w:rsidR="00B87DA8" w:rsidRPr="00B87DA8" w14:paraId="2A4B5B02" w14:textId="77777777" w:rsidTr="00A059B7">
        <w:tc>
          <w:tcPr>
            <w:tcW w:w="6563" w:type="dxa"/>
            <w:vAlign w:val="center"/>
          </w:tcPr>
          <w:p w14:paraId="236A778C" w14:textId="77777777" w:rsidR="00B87DA8" w:rsidRPr="00CA15D5" w:rsidRDefault="00B87DA8" w:rsidP="00CA15D5">
            <w:pPr>
              <w:spacing w:before="240" w:after="240"/>
              <w:contextualSpacing/>
              <w:jc w:val="both"/>
              <w:rPr>
                <w:szCs w:val="24"/>
                <w:lang w:val="es-ES"/>
              </w:rPr>
            </w:pPr>
            <w:r w:rsidRPr="00CA15D5">
              <w:rPr>
                <w:szCs w:val="24"/>
                <w:lang w:val="es-ES"/>
              </w:rPr>
              <w:t>Formulación de los Balances de Fusión y redacción y suscripción</w:t>
            </w:r>
            <w:r w:rsidRPr="00CA15D5">
              <w:rPr>
                <w:szCs w:val="24"/>
                <w:lang w:val="es-ES_tradnl"/>
              </w:rPr>
              <w:t xml:space="preserve"> del Proyecto de Fusión y del informe de administradores relativo a la Fusión</w:t>
            </w:r>
            <w:r w:rsidRPr="00CA15D5">
              <w:rPr>
                <w:szCs w:val="24"/>
                <w:lang w:val="es-ES"/>
              </w:rPr>
              <w:t xml:space="preserve"> por los órganos de administración de las Sociedades,</w:t>
            </w:r>
            <w:r w:rsidRPr="00CA15D5">
              <w:rPr>
                <w:szCs w:val="24"/>
                <w:lang w:val="es-ES_tradnl"/>
              </w:rPr>
              <w:t xml:space="preserve">  y aprobación de la Fusión por el órgano de administración de la Sociedad Absorbente (sujeta a la Condición Suspensiva). </w:t>
            </w:r>
          </w:p>
        </w:tc>
        <w:tc>
          <w:tcPr>
            <w:tcW w:w="1733" w:type="dxa"/>
            <w:vAlign w:val="center"/>
          </w:tcPr>
          <w:p w14:paraId="4678FB3E" w14:textId="77777777" w:rsidR="00B87DA8" w:rsidRPr="00CA15D5" w:rsidRDefault="00B87DA8" w:rsidP="00CA15D5">
            <w:pPr>
              <w:spacing w:before="240" w:after="240"/>
              <w:contextualSpacing/>
              <w:jc w:val="center"/>
              <w:rPr>
                <w:szCs w:val="24"/>
                <w:lang w:val="es-ES"/>
              </w:rPr>
            </w:pPr>
            <w:r w:rsidRPr="00CA15D5">
              <w:rPr>
                <w:szCs w:val="24"/>
                <w:lang w:val="es-ES_tradnl"/>
              </w:rPr>
              <w:t>27/02/2026</w:t>
            </w:r>
          </w:p>
        </w:tc>
      </w:tr>
      <w:tr w:rsidR="00B87DA8" w:rsidRPr="00B87DA8" w14:paraId="64D57919" w14:textId="77777777" w:rsidTr="00A059B7">
        <w:tc>
          <w:tcPr>
            <w:tcW w:w="6563" w:type="dxa"/>
            <w:vAlign w:val="center"/>
          </w:tcPr>
          <w:p w14:paraId="27EF1B44" w14:textId="77777777" w:rsidR="00B87DA8" w:rsidRPr="00CA15D5" w:rsidRDefault="00B87DA8" w:rsidP="00CA15D5">
            <w:pPr>
              <w:spacing w:before="240" w:after="240"/>
              <w:contextualSpacing/>
              <w:jc w:val="both"/>
              <w:rPr>
                <w:szCs w:val="24"/>
                <w:lang w:val="es-ES"/>
              </w:rPr>
            </w:pPr>
            <w:r w:rsidRPr="00CA15D5">
              <w:rPr>
                <w:szCs w:val="24"/>
                <w:lang w:val="es-ES"/>
              </w:rPr>
              <w:t xml:space="preserve">Constitución de la Filial Italiana (en su caso) y las sucursales. </w:t>
            </w:r>
          </w:p>
        </w:tc>
        <w:tc>
          <w:tcPr>
            <w:tcW w:w="1733" w:type="dxa"/>
            <w:vAlign w:val="center"/>
          </w:tcPr>
          <w:p w14:paraId="1AF5DABE" w14:textId="77777777" w:rsidR="00B87DA8" w:rsidRPr="00CA15D5" w:rsidDel="0009595D" w:rsidRDefault="00B87DA8" w:rsidP="00CA15D5">
            <w:pPr>
              <w:spacing w:before="240" w:after="240"/>
              <w:contextualSpacing/>
              <w:jc w:val="center"/>
              <w:rPr>
                <w:szCs w:val="24"/>
                <w:lang w:val="es-ES_tradnl"/>
              </w:rPr>
            </w:pPr>
            <w:r w:rsidRPr="00CA15D5">
              <w:rPr>
                <w:szCs w:val="24"/>
                <w:lang w:val="es-ES_tradnl"/>
              </w:rPr>
              <w:t>03/2026</w:t>
            </w:r>
            <w:r w:rsidRPr="00CA15D5">
              <w:rPr>
                <w:szCs w:val="24"/>
                <w:vertAlign w:val="superscript"/>
                <w:lang w:val="es-ES_tradnl"/>
              </w:rPr>
              <w:footnoteReference w:id="1"/>
            </w:r>
          </w:p>
        </w:tc>
      </w:tr>
      <w:tr w:rsidR="00B87DA8" w:rsidRPr="00B87DA8" w14:paraId="767F4C14" w14:textId="77777777" w:rsidTr="00A059B7">
        <w:tc>
          <w:tcPr>
            <w:tcW w:w="6563" w:type="dxa"/>
          </w:tcPr>
          <w:p w14:paraId="6C939842" w14:textId="77777777" w:rsidR="00B87DA8" w:rsidRPr="00CA15D5" w:rsidRDefault="00B87DA8" w:rsidP="00CA15D5">
            <w:pPr>
              <w:spacing w:before="240" w:after="240"/>
              <w:contextualSpacing/>
              <w:jc w:val="both"/>
              <w:rPr>
                <w:szCs w:val="24"/>
                <w:lang w:val="es-ES"/>
              </w:rPr>
            </w:pPr>
            <w:r w:rsidRPr="00CA15D5">
              <w:rPr>
                <w:szCs w:val="24"/>
                <w:lang w:val="es-ES"/>
              </w:rPr>
              <w:t>Presentación de la solicitud de autorización de la Fusión a la DGSFP.</w:t>
            </w:r>
          </w:p>
        </w:tc>
        <w:tc>
          <w:tcPr>
            <w:tcW w:w="1733" w:type="dxa"/>
          </w:tcPr>
          <w:p w14:paraId="7545168E" w14:textId="77777777" w:rsidR="00B87DA8" w:rsidRPr="00CA15D5" w:rsidRDefault="00B87DA8" w:rsidP="00CA15D5">
            <w:pPr>
              <w:spacing w:before="240" w:after="240"/>
              <w:contextualSpacing/>
              <w:jc w:val="center"/>
              <w:rPr>
                <w:szCs w:val="24"/>
                <w:lang w:val="es-ES_tradnl"/>
              </w:rPr>
            </w:pPr>
            <w:r w:rsidRPr="00CA15D5">
              <w:rPr>
                <w:szCs w:val="24"/>
                <w:lang w:val="es-ES_tradnl"/>
              </w:rPr>
              <w:t>04/03/2026</w:t>
            </w:r>
          </w:p>
        </w:tc>
      </w:tr>
      <w:tr w:rsidR="00B87DA8" w:rsidRPr="00B87DA8" w14:paraId="16010358" w14:textId="77777777" w:rsidTr="00A059B7">
        <w:tc>
          <w:tcPr>
            <w:tcW w:w="6563" w:type="dxa"/>
            <w:vAlign w:val="center"/>
          </w:tcPr>
          <w:p w14:paraId="0C969D45" w14:textId="77777777" w:rsidR="00B87DA8" w:rsidRPr="00CA15D5" w:rsidRDefault="00B87DA8" w:rsidP="00CA15D5">
            <w:pPr>
              <w:spacing w:before="240" w:after="240"/>
              <w:contextualSpacing/>
              <w:jc w:val="both"/>
              <w:rPr>
                <w:szCs w:val="24"/>
                <w:lang w:val="es-ES"/>
              </w:rPr>
            </w:pPr>
            <w:r w:rsidRPr="00CA15D5">
              <w:rPr>
                <w:szCs w:val="24"/>
                <w:lang w:val="es-ES"/>
              </w:rPr>
              <w:t>Apertura del periodo de consulta a tomadores.</w:t>
            </w:r>
          </w:p>
        </w:tc>
        <w:tc>
          <w:tcPr>
            <w:tcW w:w="1733" w:type="dxa"/>
            <w:vAlign w:val="center"/>
          </w:tcPr>
          <w:p w14:paraId="091C193E" w14:textId="77777777" w:rsidR="00B87DA8" w:rsidRPr="00CA15D5" w:rsidRDefault="00B87DA8" w:rsidP="00CA15D5">
            <w:pPr>
              <w:spacing w:before="240" w:after="240"/>
              <w:contextualSpacing/>
              <w:jc w:val="center"/>
              <w:rPr>
                <w:szCs w:val="24"/>
                <w:lang w:val="es-ES"/>
              </w:rPr>
            </w:pPr>
            <w:r w:rsidRPr="00CA15D5">
              <w:rPr>
                <w:szCs w:val="24"/>
                <w:lang w:val="es-ES_tradnl"/>
              </w:rPr>
              <w:t>04/03/2026</w:t>
            </w:r>
          </w:p>
        </w:tc>
      </w:tr>
      <w:tr w:rsidR="00B87DA8" w:rsidRPr="00B87DA8" w14:paraId="12BD203A" w14:textId="77777777" w:rsidTr="00A059B7">
        <w:tc>
          <w:tcPr>
            <w:tcW w:w="6563" w:type="dxa"/>
            <w:vAlign w:val="center"/>
          </w:tcPr>
          <w:p w14:paraId="3FE9F3B4" w14:textId="77777777" w:rsidR="00B87DA8" w:rsidRPr="00CA15D5" w:rsidRDefault="00B87DA8" w:rsidP="00CA15D5">
            <w:pPr>
              <w:spacing w:before="240" w:after="240"/>
              <w:contextualSpacing/>
              <w:jc w:val="both"/>
              <w:rPr>
                <w:szCs w:val="24"/>
                <w:lang w:val="es-ES"/>
              </w:rPr>
            </w:pPr>
            <w:r w:rsidRPr="00CA15D5">
              <w:rPr>
                <w:szCs w:val="24"/>
                <w:lang w:val="es-ES"/>
              </w:rPr>
              <w:t xml:space="preserve">Inserción en la página web de la Sociedad Absorbente del Proyecto de Fusión y de la información legalmente exigible. </w:t>
            </w:r>
          </w:p>
        </w:tc>
        <w:tc>
          <w:tcPr>
            <w:tcW w:w="1733" w:type="dxa"/>
            <w:vAlign w:val="center"/>
          </w:tcPr>
          <w:p w14:paraId="0D3704BB" w14:textId="77777777" w:rsidR="00B87DA8" w:rsidRPr="00CA15D5" w:rsidRDefault="00B87DA8" w:rsidP="00CA15D5">
            <w:pPr>
              <w:spacing w:before="240" w:after="240"/>
              <w:contextualSpacing/>
              <w:jc w:val="center"/>
              <w:rPr>
                <w:szCs w:val="24"/>
                <w:lang w:val="es-ES"/>
              </w:rPr>
            </w:pPr>
            <w:r w:rsidRPr="00CA15D5">
              <w:rPr>
                <w:szCs w:val="24"/>
                <w:lang w:val="es-ES_tradnl"/>
              </w:rPr>
              <w:t>04/03/2026</w:t>
            </w:r>
          </w:p>
        </w:tc>
      </w:tr>
      <w:tr w:rsidR="00B87DA8" w:rsidRPr="00B87DA8" w14:paraId="146D030B" w14:textId="77777777" w:rsidTr="00A059B7">
        <w:tc>
          <w:tcPr>
            <w:tcW w:w="6563" w:type="dxa"/>
            <w:vAlign w:val="center"/>
          </w:tcPr>
          <w:p w14:paraId="7C89FD93" w14:textId="77777777" w:rsidR="00B87DA8" w:rsidRPr="00CA15D5" w:rsidRDefault="00B87DA8" w:rsidP="00CA15D5">
            <w:pPr>
              <w:spacing w:before="240" w:after="240"/>
              <w:contextualSpacing/>
              <w:jc w:val="both"/>
              <w:rPr>
                <w:szCs w:val="24"/>
                <w:lang w:val="es-ES"/>
              </w:rPr>
            </w:pPr>
            <w:r w:rsidRPr="00CA15D5">
              <w:rPr>
                <w:szCs w:val="24"/>
                <w:lang w:val="es-ES"/>
              </w:rPr>
              <w:t>Publicación en BORME de la inserción.</w:t>
            </w:r>
          </w:p>
        </w:tc>
        <w:tc>
          <w:tcPr>
            <w:tcW w:w="1733" w:type="dxa"/>
            <w:vAlign w:val="center"/>
          </w:tcPr>
          <w:p w14:paraId="54D1EC8F" w14:textId="77777777" w:rsidR="00B87DA8" w:rsidRPr="00CA15D5" w:rsidRDefault="00B87DA8" w:rsidP="00CA15D5">
            <w:pPr>
              <w:spacing w:before="240" w:after="240"/>
              <w:contextualSpacing/>
              <w:jc w:val="center"/>
              <w:rPr>
                <w:szCs w:val="24"/>
                <w:lang w:val="es-ES"/>
              </w:rPr>
            </w:pPr>
            <w:r w:rsidRPr="00CA15D5">
              <w:rPr>
                <w:szCs w:val="24"/>
                <w:lang w:val="es-ES_tradnl"/>
              </w:rPr>
              <w:t>09/03/2026</w:t>
            </w:r>
          </w:p>
        </w:tc>
      </w:tr>
      <w:tr w:rsidR="00B87DA8" w:rsidRPr="00B87DA8" w14:paraId="5DC6FC84" w14:textId="77777777" w:rsidTr="00A059B7">
        <w:tc>
          <w:tcPr>
            <w:tcW w:w="6563" w:type="dxa"/>
            <w:vAlign w:val="center"/>
          </w:tcPr>
          <w:p w14:paraId="351A6F59" w14:textId="77777777" w:rsidR="00B87DA8" w:rsidRPr="00CA15D5" w:rsidRDefault="00B87DA8" w:rsidP="00CA15D5">
            <w:pPr>
              <w:spacing w:before="240" w:after="240"/>
              <w:contextualSpacing/>
              <w:jc w:val="both"/>
              <w:rPr>
                <w:szCs w:val="24"/>
                <w:lang w:val="es-ES"/>
              </w:rPr>
            </w:pPr>
            <w:r w:rsidRPr="00CA15D5">
              <w:rPr>
                <w:szCs w:val="24"/>
                <w:lang w:val="es-ES"/>
              </w:rPr>
              <w:t xml:space="preserve"> Publicación de los anuncios establecidos en el artículo 55 de la LME.</w:t>
            </w:r>
          </w:p>
        </w:tc>
        <w:tc>
          <w:tcPr>
            <w:tcW w:w="1733" w:type="dxa"/>
            <w:vAlign w:val="center"/>
          </w:tcPr>
          <w:p w14:paraId="522E8591" w14:textId="77777777" w:rsidR="00B87DA8" w:rsidRPr="00CA15D5" w:rsidRDefault="00B87DA8" w:rsidP="00CA15D5">
            <w:pPr>
              <w:spacing w:before="240" w:after="240"/>
              <w:contextualSpacing/>
              <w:jc w:val="center"/>
              <w:rPr>
                <w:szCs w:val="24"/>
                <w:lang w:val="es-ES"/>
              </w:rPr>
            </w:pPr>
            <w:r w:rsidRPr="00CA15D5">
              <w:rPr>
                <w:szCs w:val="24"/>
                <w:lang w:val="es-ES_tradnl"/>
              </w:rPr>
              <w:t>10/03/2026</w:t>
            </w:r>
          </w:p>
        </w:tc>
      </w:tr>
      <w:tr w:rsidR="00B87DA8" w:rsidRPr="00B87DA8" w14:paraId="5EAF056D" w14:textId="77777777" w:rsidTr="00A059B7">
        <w:tc>
          <w:tcPr>
            <w:tcW w:w="6563" w:type="dxa"/>
            <w:vAlign w:val="center"/>
          </w:tcPr>
          <w:p w14:paraId="35D242EC" w14:textId="77777777" w:rsidR="00B87DA8" w:rsidRPr="00CA15D5" w:rsidRDefault="00B87DA8" w:rsidP="00CA15D5">
            <w:pPr>
              <w:spacing w:before="240" w:after="240"/>
              <w:contextualSpacing/>
              <w:jc w:val="both"/>
              <w:rPr>
                <w:szCs w:val="24"/>
                <w:lang w:val="es-ES"/>
              </w:rPr>
            </w:pPr>
            <w:r w:rsidRPr="00CA15D5">
              <w:rPr>
                <w:szCs w:val="24"/>
                <w:lang w:val="es-ES"/>
              </w:rPr>
              <w:t xml:space="preserve">Comunicación de la Fusión a los empleados de las Sociedades Participantes. </w:t>
            </w:r>
          </w:p>
        </w:tc>
        <w:tc>
          <w:tcPr>
            <w:tcW w:w="1733" w:type="dxa"/>
            <w:vAlign w:val="center"/>
          </w:tcPr>
          <w:p w14:paraId="5E5E31F2" w14:textId="77777777" w:rsidR="00B87DA8" w:rsidRPr="00CA15D5" w:rsidRDefault="00B87DA8" w:rsidP="00CA15D5">
            <w:pPr>
              <w:spacing w:before="240" w:after="240"/>
              <w:contextualSpacing/>
              <w:jc w:val="center"/>
              <w:rPr>
                <w:szCs w:val="24"/>
                <w:lang w:val="es-ES"/>
              </w:rPr>
            </w:pPr>
            <w:r w:rsidRPr="00CA15D5">
              <w:rPr>
                <w:szCs w:val="24"/>
                <w:lang w:val="es-ES_tradnl"/>
              </w:rPr>
              <w:t>11/03/2026</w:t>
            </w:r>
          </w:p>
        </w:tc>
      </w:tr>
      <w:tr w:rsidR="00B87DA8" w:rsidRPr="00B87DA8" w14:paraId="763121A0" w14:textId="77777777" w:rsidTr="00A059B7">
        <w:tc>
          <w:tcPr>
            <w:tcW w:w="6563" w:type="dxa"/>
          </w:tcPr>
          <w:p w14:paraId="7B7011BE" w14:textId="77777777" w:rsidR="00B87DA8" w:rsidRPr="00CA15D5" w:rsidRDefault="00B87DA8" w:rsidP="00CA15D5">
            <w:pPr>
              <w:spacing w:before="240" w:after="240"/>
              <w:contextualSpacing/>
              <w:jc w:val="both"/>
              <w:rPr>
                <w:szCs w:val="24"/>
                <w:lang w:val="es-ES"/>
              </w:rPr>
            </w:pPr>
            <w:r w:rsidRPr="00CA15D5">
              <w:rPr>
                <w:szCs w:val="24"/>
                <w:lang w:val="es-ES"/>
              </w:rPr>
              <w:lastRenderedPageBreak/>
              <w:t xml:space="preserve">Solicitud de traslado de expediente al Registro Mercantil de Sevilla. </w:t>
            </w:r>
          </w:p>
        </w:tc>
        <w:tc>
          <w:tcPr>
            <w:tcW w:w="1733" w:type="dxa"/>
          </w:tcPr>
          <w:p w14:paraId="15659C7D" w14:textId="77777777" w:rsidR="00B87DA8" w:rsidRPr="00CA15D5" w:rsidDel="0009595D" w:rsidRDefault="00B87DA8" w:rsidP="00CA15D5">
            <w:pPr>
              <w:spacing w:before="240" w:after="240"/>
              <w:contextualSpacing/>
              <w:jc w:val="center"/>
              <w:rPr>
                <w:szCs w:val="24"/>
                <w:lang w:val="es-ES_tradnl"/>
              </w:rPr>
            </w:pPr>
            <w:r w:rsidRPr="00CA15D5">
              <w:rPr>
                <w:szCs w:val="24"/>
                <w:lang w:val="es-ES_tradnl"/>
              </w:rPr>
              <w:t>16/03/2026</w:t>
            </w:r>
          </w:p>
        </w:tc>
      </w:tr>
      <w:tr w:rsidR="00B87DA8" w:rsidRPr="00B87DA8" w14:paraId="78114C48" w14:textId="77777777" w:rsidTr="00A059B7">
        <w:tc>
          <w:tcPr>
            <w:tcW w:w="6563" w:type="dxa"/>
          </w:tcPr>
          <w:p w14:paraId="55E3FC7F" w14:textId="77777777" w:rsidR="00B87DA8" w:rsidRPr="00CA15D5" w:rsidRDefault="00B87DA8" w:rsidP="00CA15D5">
            <w:pPr>
              <w:spacing w:before="240" w:after="240"/>
              <w:contextualSpacing/>
              <w:jc w:val="both"/>
              <w:rPr>
                <w:szCs w:val="24"/>
                <w:lang w:val="es-ES"/>
              </w:rPr>
            </w:pPr>
            <w:r w:rsidRPr="00CA15D5">
              <w:rPr>
                <w:szCs w:val="24"/>
                <w:lang w:val="es-ES"/>
              </w:rPr>
              <w:t xml:space="preserve">Inscripción del cambio de domicilio en el Registro Mercantil de Madrid.  </w:t>
            </w:r>
          </w:p>
        </w:tc>
        <w:tc>
          <w:tcPr>
            <w:tcW w:w="1733" w:type="dxa"/>
          </w:tcPr>
          <w:p w14:paraId="265A7A44" w14:textId="77777777" w:rsidR="00B87DA8" w:rsidRPr="00CA15D5" w:rsidDel="0009595D" w:rsidRDefault="00B87DA8" w:rsidP="00CA15D5">
            <w:pPr>
              <w:spacing w:before="240" w:after="240"/>
              <w:contextualSpacing/>
              <w:jc w:val="center"/>
              <w:rPr>
                <w:szCs w:val="24"/>
                <w:lang w:val="es-ES_tradnl"/>
              </w:rPr>
            </w:pPr>
            <w:r w:rsidRPr="00CA15D5">
              <w:rPr>
                <w:szCs w:val="24"/>
                <w:lang w:val="es-ES_tradnl"/>
              </w:rPr>
              <w:t>30/03/2026</w:t>
            </w:r>
          </w:p>
        </w:tc>
      </w:tr>
      <w:tr w:rsidR="00B87DA8" w:rsidRPr="00B87DA8" w14:paraId="3DB48630" w14:textId="77777777" w:rsidTr="00A059B7">
        <w:tc>
          <w:tcPr>
            <w:tcW w:w="6563" w:type="dxa"/>
          </w:tcPr>
          <w:p w14:paraId="4AA84E3B" w14:textId="77777777" w:rsidR="00B87DA8" w:rsidRPr="00CA15D5" w:rsidRDefault="00B87DA8" w:rsidP="00CA15D5">
            <w:pPr>
              <w:spacing w:before="240" w:after="240"/>
              <w:contextualSpacing/>
              <w:jc w:val="both"/>
              <w:rPr>
                <w:szCs w:val="24"/>
                <w:lang w:val="es-ES"/>
              </w:rPr>
            </w:pPr>
            <w:r w:rsidRPr="00CA15D5">
              <w:rPr>
                <w:szCs w:val="24"/>
                <w:lang w:val="es-ES"/>
              </w:rPr>
              <w:t>Notificación a DGSFP del cambio de domicilio de AIS.</w:t>
            </w:r>
          </w:p>
        </w:tc>
        <w:tc>
          <w:tcPr>
            <w:tcW w:w="1733" w:type="dxa"/>
          </w:tcPr>
          <w:p w14:paraId="35CE12D0" w14:textId="77777777" w:rsidR="00B87DA8" w:rsidRPr="00CA15D5" w:rsidDel="0009595D" w:rsidRDefault="00B87DA8" w:rsidP="00CA15D5">
            <w:pPr>
              <w:spacing w:before="240" w:after="240"/>
              <w:contextualSpacing/>
              <w:jc w:val="center"/>
              <w:rPr>
                <w:szCs w:val="24"/>
                <w:lang w:val="es-ES_tradnl"/>
              </w:rPr>
            </w:pPr>
            <w:r w:rsidRPr="00CA15D5">
              <w:rPr>
                <w:szCs w:val="24"/>
                <w:lang w:val="es-ES_tradnl"/>
              </w:rPr>
              <w:t>31/03/2026</w:t>
            </w:r>
          </w:p>
        </w:tc>
      </w:tr>
      <w:tr w:rsidR="00B87DA8" w:rsidRPr="00B87DA8" w14:paraId="0AF6F7AD" w14:textId="77777777" w:rsidTr="00A059B7">
        <w:tc>
          <w:tcPr>
            <w:tcW w:w="6563" w:type="dxa"/>
          </w:tcPr>
          <w:p w14:paraId="518CA3FF" w14:textId="77777777" w:rsidR="00B87DA8" w:rsidRPr="00CA15D5" w:rsidRDefault="00B87DA8" w:rsidP="00CA15D5">
            <w:pPr>
              <w:spacing w:before="240" w:after="240"/>
              <w:contextualSpacing/>
              <w:jc w:val="both"/>
              <w:rPr>
                <w:szCs w:val="24"/>
                <w:lang w:val="es-ES"/>
              </w:rPr>
            </w:pPr>
            <w:r w:rsidRPr="00CA15D5">
              <w:rPr>
                <w:szCs w:val="24"/>
                <w:lang w:val="es-ES"/>
              </w:rPr>
              <w:t>Finalización del periodo de consulta a tomadores.</w:t>
            </w:r>
          </w:p>
        </w:tc>
        <w:tc>
          <w:tcPr>
            <w:tcW w:w="1733" w:type="dxa"/>
          </w:tcPr>
          <w:p w14:paraId="1B7C4F32" w14:textId="77777777" w:rsidR="00B87DA8" w:rsidRPr="00CA15D5" w:rsidDel="0009595D" w:rsidRDefault="00B87DA8" w:rsidP="00CA15D5">
            <w:pPr>
              <w:spacing w:before="240" w:after="240"/>
              <w:contextualSpacing/>
              <w:jc w:val="center"/>
              <w:rPr>
                <w:szCs w:val="24"/>
                <w:lang w:val="es-ES_tradnl"/>
              </w:rPr>
            </w:pPr>
            <w:r w:rsidRPr="00CA15D5">
              <w:rPr>
                <w:szCs w:val="24"/>
                <w:lang w:val="es-ES_tradnl"/>
              </w:rPr>
              <w:t>04/04/2026</w:t>
            </w:r>
          </w:p>
        </w:tc>
      </w:tr>
      <w:tr w:rsidR="00B87DA8" w:rsidRPr="00B87DA8" w14:paraId="5883664E" w14:textId="77777777" w:rsidTr="00A059B7">
        <w:tc>
          <w:tcPr>
            <w:tcW w:w="6563" w:type="dxa"/>
            <w:vAlign w:val="center"/>
          </w:tcPr>
          <w:p w14:paraId="3F885867" w14:textId="77777777" w:rsidR="00B87DA8" w:rsidRPr="00CA15D5" w:rsidRDefault="00B87DA8" w:rsidP="00CA15D5">
            <w:pPr>
              <w:spacing w:before="240" w:after="240"/>
              <w:contextualSpacing/>
              <w:jc w:val="both"/>
              <w:rPr>
                <w:szCs w:val="24"/>
                <w:lang w:val="es-ES"/>
              </w:rPr>
            </w:pPr>
            <w:r w:rsidRPr="00CA15D5">
              <w:rPr>
                <w:szCs w:val="24"/>
                <w:lang w:val="es-ES_tradnl"/>
              </w:rPr>
              <w:t>Cumplimiento de la Condición Suspensiva.</w:t>
            </w:r>
          </w:p>
        </w:tc>
        <w:tc>
          <w:tcPr>
            <w:tcW w:w="1733" w:type="dxa"/>
            <w:vAlign w:val="center"/>
          </w:tcPr>
          <w:p w14:paraId="6CB435DE" w14:textId="77777777" w:rsidR="00B87DA8" w:rsidRPr="00CA15D5" w:rsidRDefault="00B87DA8" w:rsidP="00CA15D5">
            <w:pPr>
              <w:spacing w:before="240" w:after="240"/>
              <w:contextualSpacing/>
              <w:jc w:val="center"/>
              <w:rPr>
                <w:szCs w:val="24"/>
                <w:lang w:val="es-ES"/>
              </w:rPr>
            </w:pPr>
            <w:r w:rsidRPr="00CA15D5">
              <w:rPr>
                <w:szCs w:val="24"/>
                <w:lang w:val="es-ES_tradnl"/>
              </w:rPr>
              <w:t>04/06/2026</w:t>
            </w:r>
          </w:p>
        </w:tc>
      </w:tr>
      <w:tr w:rsidR="00B87DA8" w:rsidRPr="00B87DA8" w14:paraId="4C0C1746" w14:textId="77777777" w:rsidTr="00A059B7">
        <w:tc>
          <w:tcPr>
            <w:tcW w:w="6563" w:type="dxa"/>
            <w:vAlign w:val="center"/>
          </w:tcPr>
          <w:p w14:paraId="43F8A477" w14:textId="77777777" w:rsidR="00B87DA8" w:rsidRPr="00CA15D5" w:rsidRDefault="00B87DA8" w:rsidP="00CA15D5">
            <w:pPr>
              <w:spacing w:before="240" w:after="240"/>
              <w:contextualSpacing/>
              <w:jc w:val="both"/>
              <w:rPr>
                <w:szCs w:val="24"/>
                <w:lang w:val="es-ES_tradnl"/>
              </w:rPr>
            </w:pPr>
            <w:r w:rsidRPr="00CA15D5">
              <w:rPr>
                <w:szCs w:val="24"/>
                <w:lang w:val="es-ES_tradnl"/>
              </w:rPr>
              <w:t>Otorgamiento de la escritura pública de aprobación de la Fusión.</w:t>
            </w:r>
          </w:p>
        </w:tc>
        <w:tc>
          <w:tcPr>
            <w:tcW w:w="1733" w:type="dxa"/>
            <w:vAlign w:val="center"/>
          </w:tcPr>
          <w:p w14:paraId="34CA32D0" w14:textId="77777777" w:rsidR="00B87DA8" w:rsidRPr="00CA15D5" w:rsidDel="008C4FAD" w:rsidRDefault="00B87DA8" w:rsidP="00CA15D5">
            <w:pPr>
              <w:spacing w:before="240" w:after="240"/>
              <w:contextualSpacing/>
              <w:jc w:val="center"/>
              <w:rPr>
                <w:szCs w:val="24"/>
                <w:lang w:val="es-ES_tradnl"/>
              </w:rPr>
            </w:pPr>
            <w:r w:rsidRPr="00CA15D5">
              <w:rPr>
                <w:szCs w:val="24"/>
                <w:lang w:val="es-ES_tradnl"/>
              </w:rPr>
              <w:t>09/06/2026</w:t>
            </w:r>
          </w:p>
        </w:tc>
      </w:tr>
      <w:tr w:rsidR="00B87DA8" w:rsidRPr="00B87DA8" w14:paraId="175ABF53" w14:textId="77777777" w:rsidTr="00A059B7">
        <w:tc>
          <w:tcPr>
            <w:tcW w:w="6563" w:type="dxa"/>
            <w:vAlign w:val="center"/>
          </w:tcPr>
          <w:p w14:paraId="06E5BDBD" w14:textId="77777777" w:rsidR="00B87DA8" w:rsidRPr="00CA15D5" w:rsidRDefault="00B87DA8" w:rsidP="00CA15D5">
            <w:pPr>
              <w:spacing w:before="240" w:after="240"/>
              <w:contextualSpacing/>
              <w:jc w:val="both"/>
              <w:rPr>
                <w:szCs w:val="24"/>
                <w:lang w:val="es-ES"/>
              </w:rPr>
            </w:pPr>
            <w:r w:rsidRPr="00CA15D5">
              <w:rPr>
                <w:szCs w:val="24"/>
                <w:lang w:val="es-ES_tradnl"/>
              </w:rPr>
              <w:t>Presentación de la autoliquidación del impuesto sobre transmisiones patrimoniales y actos jurídicos documentados.</w:t>
            </w:r>
          </w:p>
        </w:tc>
        <w:tc>
          <w:tcPr>
            <w:tcW w:w="1733" w:type="dxa"/>
            <w:vAlign w:val="center"/>
          </w:tcPr>
          <w:p w14:paraId="36AC9EF4" w14:textId="77777777" w:rsidR="00B87DA8" w:rsidRPr="00CA15D5" w:rsidRDefault="00B87DA8" w:rsidP="00CA15D5">
            <w:pPr>
              <w:spacing w:before="240" w:after="240"/>
              <w:contextualSpacing/>
              <w:jc w:val="center"/>
              <w:rPr>
                <w:szCs w:val="24"/>
                <w:lang w:val="es-ES"/>
              </w:rPr>
            </w:pPr>
            <w:r w:rsidRPr="00CA15D5">
              <w:rPr>
                <w:szCs w:val="24"/>
                <w:lang w:val="es-ES_tradnl"/>
              </w:rPr>
              <w:t>26/06/2025</w:t>
            </w:r>
          </w:p>
        </w:tc>
      </w:tr>
      <w:tr w:rsidR="00B87DA8" w:rsidRPr="00B87DA8" w14:paraId="63F0A791" w14:textId="77777777" w:rsidTr="00A059B7">
        <w:tc>
          <w:tcPr>
            <w:tcW w:w="6563" w:type="dxa"/>
            <w:vAlign w:val="center"/>
          </w:tcPr>
          <w:p w14:paraId="0F6A8DF9" w14:textId="77777777" w:rsidR="00B87DA8" w:rsidRPr="00CA15D5" w:rsidRDefault="00B87DA8" w:rsidP="00CA15D5">
            <w:pPr>
              <w:spacing w:before="240" w:after="240"/>
              <w:contextualSpacing/>
              <w:jc w:val="both"/>
              <w:rPr>
                <w:szCs w:val="24"/>
                <w:lang w:val="es-ES"/>
              </w:rPr>
            </w:pPr>
            <w:r w:rsidRPr="00CA15D5">
              <w:rPr>
                <w:szCs w:val="24"/>
                <w:lang w:val="es-ES_tradnl"/>
              </w:rPr>
              <w:t>Presentación a inscripción de la escritura de Fusión en el Registro Mercantil de Madrid.</w:t>
            </w:r>
          </w:p>
        </w:tc>
        <w:tc>
          <w:tcPr>
            <w:tcW w:w="1733" w:type="dxa"/>
            <w:vAlign w:val="center"/>
          </w:tcPr>
          <w:p w14:paraId="05D5537D" w14:textId="77777777" w:rsidR="00B87DA8" w:rsidRPr="00CA15D5" w:rsidRDefault="00B87DA8" w:rsidP="00CA15D5">
            <w:pPr>
              <w:spacing w:before="240" w:after="240"/>
              <w:contextualSpacing/>
              <w:jc w:val="center"/>
              <w:rPr>
                <w:szCs w:val="24"/>
                <w:lang w:val="es-ES"/>
              </w:rPr>
            </w:pPr>
            <w:r w:rsidRPr="00CA15D5">
              <w:rPr>
                <w:szCs w:val="24"/>
                <w:lang w:val="es-ES_tradnl"/>
              </w:rPr>
              <w:t>30/06/2026</w:t>
            </w:r>
          </w:p>
        </w:tc>
      </w:tr>
      <w:tr w:rsidR="00B87DA8" w:rsidRPr="00B87DA8" w14:paraId="776C70E2" w14:textId="77777777" w:rsidTr="00A059B7">
        <w:tc>
          <w:tcPr>
            <w:tcW w:w="6563" w:type="dxa"/>
            <w:vAlign w:val="center"/>
          </w:tcPr>
          <w:p w14:paraId="2259589E" w14:textId="77777777" w:rsidR="00B87DA8" w:rsidRPr="00CA15D5" w:rsidRDefault="00B87DA8" w:rsidP="00CA15D5">
            <w:pPr>
              <w:spacing w:before="240" w:after="240"/>
              <w:contextualSpacing/>
              <w:jc w:val="both"/>
              <w:rPr>
                <w:szCs w:val="24"/>
                <w:lang w:val="es-ES"/>
              </w:rPr>
            </w:pPr>
            <w:r w:rsidRPr="00CA15D5">
              <w:rPr>
                <w:szCs w:val="24"/>
                <w:lang w:val="es-ES_tradnl"/>
              </w:rPr>
              <w:t>Inscripción de la escritura de Fusión en el Registro Mercantil de Madrid.</w:t>
            </w:r>
          </w:p>
        </w:tc>
        <w:tc>
          <w:tcPr>
            <w:tcW w:w="1733" w:type="dxa"/>
            <w:vAlign w:val="center"/>
          </w:tcPr>
          <w:p w14:paraId="58A9714D" w14:textId="77777777" w:rsidR="00B87DA8" w:rsidRPr="00CA15D5" w:rsidRDefault="00B87DA8" w:rsidP="00CA15D5">
            <w:pPr>
              <w:spacing w:before="240" w:after="240"/>
              <w:contextualSpacing/>
              <w:jc w:val="center"/>
              <w:rPr>
                <w:szCs w:val="24"/>
                <w:lang w:val="es-ES"/>
              </w:rPr>
            </w:pPr>
            <w:r w:rsidRPr="00CA15D5">
              <w:rPr>
                <w:szCs w:val="24"/>
                <w:lang w:val="es-ES_tradnl"/>
              </w:rPr>
              <w:t>06/07/2026</w:t>
            </w:r>
          </w:p>
        </w:tc>
      </w:tr>
      <w:tr w:rsidR="00B87DA8" w:rsidRPr="00B87DA8" w14:paraId="222D1FBD" w14:textId="77777777" w:rsidTr="00A059B7">
        <w:tc>
          <w:tcPr>
            <w:tcW w:w="6563" w:type="dxa"/>
            <w:vAlign w:val="center"/>
          </w:tcPr>
          <w:p w14:paraId="16338D1C" w14:textId="77777777" w:rsidR="00B87DA8" w:rsidRPr="00CA15D5" w:rsidRDefault="00B87DA8" w:rsidP="00CA15D5">
            <w:pPr>
              <w:spacing w:before="240" w:after="240"/>
              <w:contextualSpacing/>
              <w:jc w:val="both"/>
              <w:rPr>
                <w:szCs w:val="24"/>
                <w:lang w:val="es-ES_tradnl"/>
              </w:rPr>
            </w:pPr>
            <w:r w:rsidRPr="00CA15D5">
              <w:rPr>
                <w:szCs w:val="24"/>
                <w:lang w:val="es-ES_tradnl"/>
              </w:rPr>
              <w:t>Autorización administrativa e inscripción definitiva en el registro de la DGSFP.</w:t>
            </w:r>
          </w:p>
        </w:tc>
        <w:tc>
          <w:tcPr>
            <w:tcW w:w="1733" w:type="dxa"/>
            <w:vAlign w:val="center"/>
          </w:tcPr>
          <w:p w14:paraId="52B91A27" w14:textId="77777777" w:rsidR="00B87DA8" w:rsidRPr="00CA15D5" w:rsidDel="008C4FAD" w:rsidRDefault="00B87DA8" w:rsidP="00CA15D5">
            <w:pPr>
              <w:spacing w:before="240" w:after="240"/>
              <w:contextualSpacing/>
              <w:jc w:val="center"/>
              <w:rPr>
                <w:szCs w:val="24"/>
                <w:lang w:val="es-ES_tradnl"/>
              </w:rPr>
            </w:pPr>
            <w:r w:rsidRPr="00CA15D5">
              <w:rPr>
                <w:szCs w:val="24"/>
                <w:lang w:val="es-ES_tradnl"/>
              </w:rPr>
              <w:t>10/07/2026</w:t>
            </w:r>
          </w:p>
        </w:tc>
      </w:tr>
      <w:tr w:rsidR="00B87DA8" w:rsidRPr="00A279D3" w14:paraId="4ED8A415" w14:textId="77777777" w:rsidTr="00A059B7">
        <w:tc>
          <w:tcPr>
            <w:tcW w:w="6563" w:type="dxa"/>
            <w:vAlign w:val="center"/>
          </w:tcPr>
          <w:p w14:paraId="382759C5" w14:textId="77777777" w:rsidR="00B87DA8" w:rsidRPr="00CA15D5" w:rsidRDefault="00B87DA8" w:rsidP="00CA15D5">
            <w:pPr>
              <w:spacing w:before="240" w:after="240"/>
              <w:contextualSpacing/>
              <w:jc w:val="both"/>
              <w:rPr>
                <w:szCs w:val="24"/>
                <w:lang w:val="es-ES"/>
              </w:rPr>
            </w:pPr>
            <w:r w:rsidRPr="00CA15D5">
              <w:rPr>
                <w:szCs w:val="24"/>
                <w:lang w:val="es-ES_tradnl"/>
              </w:rPr>
              <w:t>Comunicación a las autoridades fiscales de la operación de Fusión.</w:t>
            </w:r>
          </w:p>
        </w:tc>
        <w:tc>
          <w:tcPr>
            <w:tcW w:w="1733" w:type="dxa"/>
            <w:vAlign w:val="center"/>
          </w:tcPr>
          <w:p w14:paraId="58ABB8AD" w14:textId="77777777" w:rsidR="00B87DA8" w:rsidRPr="00CA15D5" w:rsidRDefault="00B87DA8" w:rsidP="00CA15D5">
            <w:pPr>
              <w:spacing w:before="240" w:after="240"/>
              <w:contextualSpacing/>
              <w:jc w:val="center"/>
              <w:rPr>
                <w:szCs w:val="24"/>
                <w:lang w:val="es-ES"/>
              </w:rPr>
            </w:pPr>
            <w:r w:rsidRPr="00CA15D5">
              <w:rPr>
                <w:szCs w:val="24"/>
                <w:lang w:val="es-ES_tradnl"/>
              </w:rPr>
              <w:t>Dentro de los 3 meses siguientes a la inscripción registral</w:t>
            </w:r>
          </w:p>
        </w:tc>
      </w:tr>
      <w:tr w:rsidR="00B87DA8" w:rsidRPr="00A279D3" w14:paraId="14E863A4" w14:textId="77777777" w:rsidTr="00A059B7">
        <w:tc>
          <w:tcPr>
            <w:tcW w:w="6563" w:type="dxa"/>
            <w:vAlign w:val="center"/>
          </w:tcPr>
          <w:p w14:paraId="681B8E4C" w14:textId="77777777" w:rsidR="00B87DA8" w:rsidRPr="00CA15D5" w:rsidRDefault="00B87DA8" w:rsidP="00CA15D5">
            <w:pPr>
              <w:spacing w:before="240" w:after="240"/>
              <w:contextualSpacing/>
              <w:jc w:val="both"/>
              <w:rPr>
                <w:szCs w:val="24"/>
                <w:lang w:val="es-ES"/>
              </w:rPr>
            </w:pPr>
            <w:r w:rsidRPr="00CA15D5">
              <w:rPr>
                <w:szCs w:val="24"/>
                <w:lang w:val="es-ES_tradnl"/>
              </w:rPr>
              <w:t>Presentación a inscripción de la Fusión en otros registros públicos (Registro de la Propiedad, Oficina Española de Patentes y Marcas, etc.).</w:t>
            </w:r>
          </w:p>
        </w:tc>
        <w:tc>
          <w:tcPr>
            <w:tcW w:w="1733" w:type="dxa"/>
            <w:vAlign w:val="center"/>
          </w:tcPr>
          <w:p w14:paraId="042EDD31" w14:textId="77777777" w:rsidR="00B87DA8" w:rsidRPr="00CA15D5" w:rsidRDefault="00B87DA8" w:rsidP="00CA15D5">
            <w:pPr>
              <w:spacing w:before="240" w:after="240"/>
              <w:contextualSpacing/>
              <w:jc w:val="center"/>
              <w:rPr>
                <w:szCs w:val="24"/>
                <w:lang w:val="es-ES"/>
              </w:rPr>
            </w:pPr>
            <w:r w:rsidRPr="00CA15D5">
              <w:rPr>
                <w:szCs w:val="24"/>
                <w:lang w:val="es-ES_tradnl"/>
              </w:rPr>
              <w:t>(No existe un plazo concreto)</w:t>
            </w:r>
          </w:p>
        </w:tc>
      </w:tr>
    </w:tbl>
    <w:p w14:paraId="32433EF4" w14:textId="77777777" w:rsidR="00B87DA8" w:rsidRPr="00CA15D5" w:rsidRDefault="00B87DA8" w:rsidP="00CA15D5">
      <w:pPr>
        <w:spacing w:after="160"/>
        <w:ind w:left="720"/>
        <w:contextualSpacing/>
        <w:jc w:val="both"/>
        <w:rPr>
          <w:szCs w:val="24"/>
          <w:lang w:val="es-ES"/>
        </w:rPr>
      </w:pPr>
    </w:p>
    <w:p w14:paraId="58D2EF34" w14:textId="77777777" w:rsidR="00B87DA8" w:rsidRPr="00CA15D5" w:rsidRDefault="00B87DA8" w:rsidP="00CA15D5">
      <w:pPr>
        <w:numPr>
          <w:ilvl w:val="0"/>
          <w:numId w:val="19"/>
        </w:numPr>
        <w:spacing w:after="160"/>
        <w:ind w:hanging="720"/>
        <w:contextualSpacing/>
        <w:jc w:val="both"/>
        <w:rPr>
          <w:b/>
          <w:bCs/>
          <w:szCs w:val="24"/>
          <w:lang w:val="es-ES"/>
        </w:rPr>
      </w:pPr>
      <w:r w:rsidRPr="00CA15D5">
        <w:rPr>
          <w:b/>
          <w:bCs/>
          <w:szCs w:val="24"/>
          <w:lang w:val="es-ES"/>
        </w:rPr>
        <w:t>DERECHOS ESPECIALES Y TÍTULOS DISTINTOS DE LOS REPRESENTATIVOS DEL CAPITAL SOCIAL (Art. 4.1.3º LME)</w:t>
      </w:r>
    </w:p>
    <w:p w14:paraId="2F2F928E" w14:textId="77777777" w:rsidR="00B87DA8" w:rsidRPr="00CA15D5" w:rsidRDefault="00B87DA8" w:rsidP="00CA15D5">
      <w:pPr>
        <w:spacing w:after="160"/>
        <w:ind w:left="720"/>
        <w:contextualSpacing/>
        <w:jc w:val="both"/>
        <w:rPr>
          <w:b/>
          <w:bCs/>
          <w:szCs w:val="24"/>
          <w:lang w:val="es-ES"/>
        </w:rPr>
      </w:pPr>
    </w:p>
    <w:p w14:paraId="4F16244E" w14:textId="77777777" w:rsidR="00B87DA8" w:rsidRPr="00CA15D5" w:rsidRDefault="00B87DA8" w:rsidP="00CA15D5">
      <w:pPr>
        <w:spacing w:after="160"/>
        <w:contextualSpacing/>
        <w:jc w:val="both"/>
        <w:rPr>
          <w:szCs w:val="24"/>
          <w:lang w:val="es-ES"/>
        </w:rPr>
      </w:pPr>
      <w:r w:rsidRPr="00CA15D5">
        <w:rPr>
          <w:szCs w:val="24"/>
          <w:lang w:val="es-ES"/>
        </w:rPr>
        <w:t xml:space="preserve">Se hace constar que no se atribuirán, ni en la Sociedad Absorbente ni en la Sociedad Absorbida, ninguna clase de acciones especiales o privilegiadas, ni persona que tenga derechos especiales distintos de las acciones, ni tenedores de valores o títulos que no sean acciones, por lo que no es preciso considerar esta cuestión en la Fusión. </w:t>
      </w:r>
    </w:p>
    <w:p w14:paraId="1F7BB28F" w14:textId="77777777" w:rsidR="00B87DA8" w:rsidRPr="00CA15D5" w:rsidRDefault="00B87DA8" w:rsidP="00CA15D5">
      <w:pPr>
        <w:spacing w:after="160"/>
        <w:ind w:left="720"/>
        <w:contextualSpacing/>
        <w:jc w:val="both"/>
        <w:rPr>
          <w:szCs w:val="24"/>
          <w:lang w:val="es-ES"/>
        </w:rPr>
      </w:pPr>
    </w:p>
    <w:p w14:paraId="677DD2D7" w14:textId="77777777" w:rsidR="00B87DA8" w:rsidRPr="00CA15D5" w:rsidRDefault="00B87DA8" w:rsidP="00CA15D5">
      <w:pPr>
        <w:numPr>
          <w:ilvl w:val="0"/>
          <w:numId w:val="19"/>
        </w:numPr>
        <w:spacing w:after="160"/>
        <w:ind w:hanging="720"/>
        <w:contextualSpacing/>
        <w:jc w:val="both"/>
        <w:rPr>
          <w:b/>
          <w:bCs/>
          <w:szCs w:val="24"/>
          <w:lang w:val="es-ES"/>
        </w:rPr>
      </w:pPr>
      <w:r w:rsidRPr="00CA15D5">
        <w:rPr>
          <w:b/>
          <w:bCs/>
          <w:szCs w:val="24"/>
          <w:lang w:val="es-ES"/>
        </w:rPr>
        <w:t>IMPLICACIONES DE LA FUSIÓN PARA LOS ACREEDORES DE LAS SOCIEDADES (Art. 4.1.4º LME)</w:t>
      </w:r>
    </w:p>
    <w:p w14:paraId="610E7977" w14:textId="77777777" w:rsidR="00B87DA8" w:rsidRPr="00CA15D5" w:rsidRDefault="00B87DA8" w:rsidP="00CA15D5">
      <w:pPr>
        <w:spacing w:after="160"/>
        <w:ind w:left="720"/>
        <w:contextualSpacing/>
        <w:jc w:val="both"/>
        <w:rPr>
          <w:b/>
          <w:bCs/>
          <w:szCs w:val="24"/>
          <w:lang w:val="es-ES"/>
        </w:rPr>
      </w:pPr>
    </w:p>
    <w:p w14:paraId="0356B1A3" w14:textId="77777777" w:rsidR="00B87DA8" w:rsidRPr="00CA15D5" w:rsidRDefault="00B87DA8" w:rsidP="00CA15D5">
      <w:pPr>
        <w:spacing w:after="160"/>
        <w:contextualSpacing/>
        <w:jc w:val="both"/>
        <w:rPr>
          <w:szCs w:val="24"/>
          <w:lang w:val="es-ES"/>
        </w:rPr>
      </w:pPr>
      <w:r w:rsidRPr="00CA15D5">
        <w:rPr>
          <w:szCs w:val="24"/>
          <w:lang w:val="es-ES"/>
        </w:rPr>
        <w:t>Como consecuencia de la Fusión, la Sociedad Absorbida transmitirá en bloque todos sus derechos y obligaciones por sucesión universal a la Sociedad Absorbente y, por tanto, los acreedores de la Sociedad Absorbida pasarán a ser acreedores de la Sociedad Absorbente y continuarán siendo titulares de sus derechos tras la Fusión.</w:t>
      </w:r>
    </w:p>
    <w:p w14:paraId="2FE960CE" w14:textId="77777777" w:rsidR="00B87DA8" w:rsidRPr="00CA15D5" w:rsidRDefault="00B87DA8" w:rsidP="00CA15D5">
      <w:pPr>
        <w:spacing w:after="160"/>
        <w:ind w:left="720"/>
        <w:contextualSpacing/>
        <w:jc w:val="both"/>
        <w:rPr>
          <w:szCs w:val="24"/>
          <w:lang w:val="es-ES"/>
        </w:rPr>
      </w:pPr>
    </w:p>
    <w:p w14:paraId="27338738" w14:textId="77777777" w:rsidR="00B87DA8" w:rsidRPr="00CA15D5" w:rsidRDefault="00B87DA8" w:rsidP="00CA15D5">
      <w:pPr>
        <w:spacing w:after="160"/>
        <w:contextualSpacing/>
        <w:jc w:val="both"/>
        <w:rPr>
          <w:szCs w:val="24"/>
          <w:lang w:val="es-ES"/>
        </w:rPr>
      </w:pPr>
      <w:r w:rsidRPr="00CA15D5">
        <w:rPr>
          <w:szCs w:val="24"/>
          <w:lang w:val="es-ES"/>
        </w:rPr>
        <w:lastRenderedPageBreak/>
        <w:t>Asimismo, los administradores que suscriben el presente Proyecto de Fusión hacen constar que la Sociedad Absorbente tiene solvencia suficiente para otorgar garantías adecuadas en caso de que así lo soliciten los acreedores de cualquiera de las Sociedades Participantes en la Fusión de conformidad con lo establecido en los artículos 13 y 14 de la LME.</w:t>
      </w:r>
    </w:p>
    <w:p w14:paraId="7ED734A6" w14:textId="77777777" w:rsidR="00B87DA8" w:rsidRPr="00CA15D5" w:rsidRDefault="00B87DA8" w:rsidP="00CA15D5">
      <w:pPr>
        <w:spacing w:after="160"/>
        <w:ind w:left="720"/>
        <w:contextualSpacing/>
        <w:jc w:val="both"/>
        <w:rPr>
          <w:szCs w:val="24"/>
          <w:lang w:val="es-ES"/>
        </w:rPr>
      </w:pPr>
    </w:p>
    <w:p w14:paraId="210BC52F" w14:textId="77777777" w:rsidR="00B87DA8" w:rsidRPr="00CA15D5" w:rsidRDefault="00B87DA8" w:rsidP="00CA15D5">
      <w:pPr>
        <w:spacing w:after="160"/>
        <w:contextualSpacing/>
        <w:jc w:val="both"/>
        <w:rPr>
          <w:szCs w:val="24"/>
          <w:lang w:val="es-ES"/>
        </w:rPr>
      </w:pPr>
      <w:r w:rsidRPr="00CA15D5">
        <w:rPr>
          <w:szCs w:val="24"/>
          <w:lang w:val="es-ES"/>
        </w:rPr>
        <w:t xml:space="preserve">En este sentido, teniendo en cuenta que las cuentas de las Sociedades Participantes vienen siendo objeto de auditoría sin que exista ninguna salvedad o reserva respecto de su posición patrimonial, no está previsto otorgar garantías ni adoptar medidas específicas en favor de los acreedores de cada una de las Sociedades Participantes por considerarse que, tras la Fusión, la situación de la Sociedad Absorbente permanecerá inalterada. </w:t>
      </w:r>
    </w:p>
    <w:p w14:paraId="5B985FBC" w14:textId="77777777" w:rsidR="00B87DA8" w:rsidRPr="00CA15D5" w:rsidRDefault="00B87DA8" w:rsidP="00CA15D5">
      <w:pPr>
        <w:spacing w:after="160"/>
        <w:ind w:left="720"/>
        <w:contextualSpacing/>
        <w:jc w:val="both"/>
        <w:rPr>
          <w:szCs w:val="24"/>
          <w:lang w:val="es-ES"/>
        </w:rPr>
      </w:pPr>
    </w:p>
    <w:p w14:paraId="7F9D89F5" w14:textId="77777777" w:rsidR="00B87DA8" w:rsidRPr="00CA15D5" w:rsidRDefault="00B87DA8" w:rsidP="00CA15D5">
      <w:pPr>
        <w:spacing w:after="160"/>
        <w:contextualSpacing/>
        <w:jc w:val="both"/>
        <w:rPr>
          <w:szCs w:val="24"/>
          <w:lang w:val="es-ES"/>
        </w:rPr>
      </w:pPr>
      <w:r w:rsidRPr="00CA15D5">
        <w:rPr>
          <w:szCs w:val="24"/>
          <w:lang w:val="es-ES"/>
        </w:rPr>
        <w:t xml:space="preserve">Adicionalmente, conforme a lo indicado en la Sección 3.1 del presente Proyecto de Fusión, se hace constar que </w:t>
      </w:r>
      <w:proofErr w:type="gramStart"/>
      <w:r w:rsidRPr="00CA15D5">
        <w:rPr>
          <w:szCs w:val="24"/>
          <w:lang w:val="es-ES"/>
        </w:rPr>
        <w:t>el ratio</w:t>
      </w:r>
      <w:proofErr w:type="gramEnd"/>
      <w:r w:rsidRPr="00CA15D5">
        <w:rPr>
          <w:szCs w:val="24"/>
          <w:lang w:val="es-ES"/>
        </w:rPr>
        <w:t xml:space="preserve"> de solvencia de AECS tras la Fusión se situará en el 138% tras la capitalización de dos préstamos intragrupo por importe de EUR 20.6m y EUR 3.4m, respectivamente, sin que, en consecuencia, se prevea un impacto negativo en el cumplimiento del capital de solvencia obligatorio. </w:t>
      </w:r>
    </w:p>
    <w:p w14:paraId="59C273F6" w14:textId="77777777" w:rsidR="00B87DA8" w:rsidRPr="00CA15D5" w:rsidRDefault="00B87DA8" w:rsidP="00CA15D5">
      <w:pPr>
        <w:spacing w:after="160"/>
        <w:ind w:left="720"/>
        <w:contextualSpacing/>
        <w:jc w:val="both"/>
        <w:rPr>
          <w:szCs w:val="24"/>
          <w:lang w:val="es-ES"/>
        </w:rPr>
      </w:pPr>
    </w:p>
    <w:p w14:paraId="13E79D3B" w14:textId="77777777" w:rsidR="00B87DA8" w:rsidRPr="00CA15D5" w:rsidRDefault="00B87DA8" w:rsidP="00CA15D5">
      <w:pPr>
        <w:spacing w:after="160"/>
        <w:contextualSpacing/>
        <w:jc w:val="both"/>
        <w:rPr>
          <w:szCs w:val="24"/>
          <w:lang w:val="es-ES"/>
        </w:rPr>
      </w:pPr>
      <w:r w:rsidRPr="00CA15D5">
        <w:rPr>
          <w:szCs w:val="24"/>
          <w:lang w:val="es-ES"/>
        </w:rPr>
        <w:t>En cualquier caso, de conformidad con los artículos 13 y 14 LME, los acreedores de las Sociedades Participantes en la Fusión:</w:t>
      </w:r>
    </w:p>
    <w:p w14:paraId="37879363" w14:textId="77777777" w:rsidR="00B87DA8" w:rsidRPr="00CA15D5" w:rsidRDefault="00B87DA8" w:rsidP="00CA15D5">
      <w:pPr>
        <w:spacing w:after="160"/>
        <w:ind w:left="720"/>
        <w:contextualSpacing/>
        <w:jc w:val="both"/>
        <w:rPr>
          <w:szCs w:val="24"/>
          <w:lang w:val="es-ES"/>
        </w:rPr>
      </w:pPr>
    </w:p>
    <w:p w14:paraId="672E0438" w14:textId="77777777" w:rsidR="00B87DA8" w:rsidRPr="00CA15D5" w:rsidRDefault="00B87DA8" w:rsidP="00CA15D5">
      <w:pPr>
        <w:numPr>
          <w:ilvl w:val="0"/>
          <w:numId w:val="22"/>
        </w:numPr>
        <w:spacing w:after="160"/>
        <w:contextualSpacing/>
        <w:jc w:val="both"/>
        <w:rPr>
          <w:szCs w:val="24"/>
          <w:lang w:val="es-ES"/>
        </w:rPr>
      </w:pPr>
      <w:r w:rsidRPr="00CA15D5">
        <w:rPr>
          <w:szCs w:val="24"/>
          <w:lang w:val="es-ES"/>
        </w:rPr>
        <w:t>cuyos derechos de crédito hayan nacido y aun no vencido en la fecha de publicación del presente anuncio y puesta a disposición de la información correspondiente al Proyecto de Fusión;</w:t>
      </w:r>
    </w:p>
    <w:p w14:paraId="6B64CE94" w14:textId="77777777" w:rsidR="00B87DA8" w:rsidRPr="00CA15D5" w:rsidRDefault="00B87DA8" w:rsidP="00CA15D5">
      <w:pPr>
        <w:spacing w:after="160"/>
        <w:ind w:left="1211"/>
        <w:contextualSpacing/>
        <w:jc w:val="both"/>
        <w:rPr>
          <w:szCs w:val="24"/>
          <w:lang w:val="es-ES"/>
        </w:rPr>
      </w:pPr>
    </w:p>
    <w:p w14:paraId="1555F5BC" w14:textId="77777777" w:rsidR="00B87DA8" w:rsidRPr="00CA15D5" w:rsidRDefault="00B87DA8" w:rsidP="00CA15D5">
      <w:pPr>
        <w:numPr>
          <w:ilvl w:val="0"/>
          <w:numId w:val="22"/>
        </w:numPr>
        <w:spacing w:after="160"/>
        <w:contextualSpacing/>
        <w:jc w:val="both"/>
        <w:rPr>
          <w:szCs w:val="24"/>
          <w:lang w:val="es-ES"/>
        </w:rPr>
      </w:pPr>
      <w:r w:rsidRPr="00CA15D5">
        <w:rPr>
          <w:szCs w:val="24"/>
          <w:lang w:val="es-ES"/>
        </w:rPr>
        <w:t>no estén de acuerdo con el hecho de que no se ofrezcan garantías especiales en virtud del presente Proyecto de Fusión; y</w:t>
      </w:r>
    </w:p>
    <w:p w14:paraId="1DC0EB6A" w14:textId="77777777" w:rsidR="00B87DA8" w:rsidRPr="00CA15D5" w:rsidRDefault="00B87DA8" w:rsidP="00CA15D5">
      <w:pPr>
        <w:spacing w:after="160"/>
        <w:ind w:left="1211"/>
        <w:contextualSpacing/>
        <w:jc w:val="both"/>
        <w:rPr>
          <w:szCs w:val="24"/>
          <w:lang w:val="es-ES"/>
        </w:rPr>
      </w:pPr>
    </w:p>
    <w:p w14:paraId="0D140B3E" w14:textId="77777777" w:rsidR="00B87DA8" w:rsidRPr="00CA15D5" w:rsidRDefault="00B87DA8" w:rsidP="00CA15D5">
      <w:pPr>
        <w:numPr>
          <w:ilvl w:val="0"/>
          <w:numId w:val="22"/>
        </w:numPr>
        <w:spacing w:after="160"/>
        <w:contextualSpacing/>
        <w:jc w:val="both"/>
        <w:rPr>
          <w:szCs w:val="24"/>
          <w:lang w:val="es-ES"/>
        </w:rPr>
      </w:pPr>
      <w:r w:rsidRPr="00CA15D5">
        <w:rPr>
          <w:szCs w:val="24"/>
          <w:lang w:val="es-ES"/>
        </w:rPr>
        <w:t>hayan notificado a la Sociedad Absorbente o a la Sociedad Absorbida, según corresponda, su disconformidad;</w:t>
      </w:r>
    </w:p>
    <w:p w14:paraId="54FFF2CF" w14:textId="77777777" w:rsidR="00B87DA8" w:rsidRPr="00CA15D5" w:rsidRDefault="00B87DA8" w:rsidP="00CA15D5">
      <w:pPr>
        <w:spacing w:after="160"/>
        <w:ind w:left="720"/>
        <w:contextualSpacing/>
        <w:jc w:val="both"/>
        <w:rPr>
          <w:szCs w:val="24"/>
          <w:lang w:val="es-ES"/>
        </w:rPr>
      </w:pPr>
    </w:p>
    <w:p w14:paraId="7A12CC42" w14:textId="77777777" w:rsidR="00B87DA8" w:rsidRPr="00CA15D5" w:rsidRDefault="00B87DA8" w:rsidP="00CA15D5">
      <w:pPr>
        <w:spacing w:after="160"/>
        <w:contextualSpacing/>
        <w:jc w:val="both"/>
        <w:rPr>
          <w:szCs w:val="24"/>
          <w:lang w:val="es-ES"/>
        </w:rPr>
      </w:pPr>
      <w:r w:rsidRPr="00CA15D5">
        <w:rPr>
          <w:szCs w:val="24"/>
          <w:lang w:val="es-ES"/>
        </w:rPr>
        <w:t>podrán, dado que no se prevé que el Proyecto de Fusión sea depositado en el Registro Mercantil y que no se emitirá informe de experto independiente, dentro del plazo de un (1) mes a partir de la fecha de publicación del presente Proyecto de Fusión en el BORME, solicitar del Registro Mercantil que nombre un experto independiente para que, en el plazo de veinte (20) días se pronuncie en un único informe sobre la adecuación de las garantías de todos los acreedores que lo hayan solicitado.</w:t>
      </w:r>
    </w:p>
    <w:p w14:paraId="3E32F0BE" w14:textId="77777777" w:rsidR="00B87DA8" w:rsidRPr="00CA15D5" w:rsidRDefault="00B87DA8" w:rsidP="00CA15D5">
      <w:pPr>
        <w:spacing w:after="160"/>
        <w:ind w:left="720"/>
        <w:contextualSpacing/>
        <w:jc w:val="both"/>
        <w:rPr>
          <w:szCs w:val="24"/>
          <w:lang w:val="es-ES"/>
        </w:rPr>
      </w:pPr>
    </w:p>
    <w:p w14:paraId="434A9119" w14:textId="77777777" w:rsidR="00B87DA8" w:rsidRPr="00CA15D5" w:rsidRDefault="00B87DA8" w:rsidP="00CA15D5">
      <w:pPr>
        <w:spacing w:after="160"/>
        <w:contextualSpacing/>
        <w:jc w:val="both"/>
        <w:rPr>
          <w:szCs w:val="24"/>
          <w:lang w:val="es-ES"/>
        </w:rPr>
      </w:pPr>
      <w:r w:rsidRPr="00CA15D5">
        <w:rPr>
          <w:szCs w:val="24"/>
          <w:lang w:val="es-ES"/>
        </w:rPr>
        <w:t xml:space="preserve">No </w:t>
      </w:r>
      <w:proofErr w:type="gramStart"/>
      <w:r w:rsidRPr="00CA15D5">
        <w:rPr>
          <w:szCs w:val="24"/>
          <w:lang w:val="es-ES"/>
        </w:rPr>
        <w:t>obstante</w:t>
      </w:r>
      <w:proofErr w:type="gramEnd"/>
      <w:r w:rsidRPr="00CA15D5">
        <w:rPr>
          <w:szCs w:val="24"/>
          <w:lang w:val="es-ES"/>
        </w:rPr>
        <w:t xml:space="preserve"> lo anterior, se deja expresa constancia de que el ejercicio por parte de los acreedores de los derechos previstos en el artículo 13 de la LME no paralizará la operación de Fusión ni impedirá su inscripción en el Registro Mercantil de conformidad con lo dispuesto en el artículo 13.3 de la LME.</w:t>
      </w:r>
    </w:p>
    <w:p w14:paraId="1EAD5163" w14:textId="77777777" w:rsidR="00B87DA8" w:rsidRPr="00CA15D5" w:rsidRDefault="00B87DA8" w:rsidP="00CA15D5">
      <w:pPr>
        <w:spacing w:after="160"/>
        <w:ind w:left="720"/>
        <w:contextualSpacing/>
        <w:jc w:val="both"/>
        <w:rPr>
          <w:szCs w:val="24"/>
          <w:lang w:val="es-ES"/>
        </w:rPr>
      </w:pPr>
    </w:p>
    <w:p w14:paraId="7A180C9E" w14:textId="77777777" w:rsidR="00B87DA8" w:rsidRPr="00CA15D5" w:rsidRDefault="00B87DA8" w:rsidP="00CA15D5">
      <w:pPr>
        <w:numPr>
          <w:ilvl w:val="0"/>
          <w:numId w:val="19"/>
        </w:numPr>
        <w:spacing w:after="160"/>
        <w:ind w:hanging="720"/>
        <w:contextualSpacing/>
        <w:jc w:val="both"/>
        <w:rPr>
          <w:b/>
          <w:bCs/>
          <w:szCs w:val="24"/>
          <w:lang w:val="es-ES"/>
        </w:rPr>
      </w:pPr>
      <w:r w:rsidRPr="00CA15D5">
        <w:rPr>
          <w:b/>
          <w:bCs/>
          <w:szCs w:val="24"/>
          <w:lang w:val="es-ES"/>
        </w:rPr>
        <w:lastRenderedPageBreak/>
        <w:t>VENTAJAS OTORGADAS A LOS MIEMBROS DE LOS ÓRGANOS DE ADMINISTRACIÓN, DIRECCIÓN, SUPERVISIÓN O CONTROL DE LAS SOCIEDADES (Art. 4.1.5º LME)</w:t>
      </w:r>
    </w:p>
    <w:p w14:paraId="07A8F872" w14:textId="77777777" w:rsidR="00B87DA8" w:rsidRPr="00CA15D5" w:rsidRDefault="00B87DA8" w:rsidP="00CA15D5">
      <w:pPr>
        <w:spacing w:after="160"/>
        <w:ind w:left="720"/>
        <w:contextualSpacing/>
        <w:jc w:val="both"/>
        <w:rPr>
          <w:b/>
          <w:bCs/>
          <w:szCs w:val="24"/>
          <w:lang w:val="es-ES"/>
        </w:rPr>
      </w:pPr>
    </w:p>
    <w:p w14:paraId="784FE861" w14:textId="77777777" w:rsidR="00B87DA8" w:rsidRPr="00CA15D5" w:rsidRDefault="00B87DA8" w:rsidP="00CA15D5">
      <w:pPr>
        <w:spacing w:after="160"/>
        <w:contextualSpacing/>
        <w:jc w:val="both"/>
        <w:rPr>
          <w:szCs w:val="24"/>
          <w:lang w:val="es-ES"/>
        </w:rPr>
      </w:pPr>
      <w:r w:rsidRPr="00CA15D5">
        <w:rPr>
          <w:szCs w:val="24"/>
          <w:lang w:val="es-ES"/>
        </w:rPr>
        <w:t>Se hace constar que no se atribuirán ventajas o derechos de ningún tipo a los miembros de los Consejos de Administración de la Sociedad Absorbente ni de la Sociedad Absorbida, así como a cualesquiera otros miembros de los órganos de dirección, supervisión o control de las Sociedades Participantes en la Fusión.</w:t>
      </w:r>
    </w:p>
    <w:p w14:paraId="2C92CF92" w14:textId="77777777" w:rsidR="00B87DA8" w:rsidRPr="00CA15D5" w:rsidRDefault="00B87DA8" w:rsidP="00CA15D5">
      <w:pPr>
        <w:spacing w:after="160"/>
        <w:ind w:left="720"/>
        <w:contextualSpacing/>
        <w:jc w:val="both"/>
        <w:rPr>
          <w:szCs w:val="24"/>
          <w:lang w:val="es-ES"/>
        </w:rPr>
      </w:pPr>
    </w:p>
    <w:p w14:paraId="1731D11C" w14:textId="77777777" w:rsidR="00B87DA8" w:rsidRPr="00CA15D5" w:rsidRDefault="00B87DA8" w:rsidP="00CA15D5">
      <w:pPr>
        <w:numPr>
          <w:ilvl w:val="0"/>
          <w:numId w:val="19"/>
        </w:numPr>
        <w:spacing w:after="160"/>
        <w:ind w:hanging="720"/>
        <w:contextualSpacing/>
        <w:jc w:val="both"/>
        <w:rPr>
          <w:b/>
          <w:bCs/>
          <w:szCs w:val="24"/>
          <w:lang w:val="es-ES"/>
        </w:rPr>
      </w:pPr>
      <w:r w:rsidRPr="00CA15D5">
        <w:rPr>
          <w:b/>
          <w:bCs/>
          <w:szCs w:val="24"/>
          <w:lang w:val="es-ES"/>
        </w:rPr>
        <w:t>DETALLES DE LA OFERTA DE COMPENSACIÓN EN EFECTIVO A LOS SOCIOS QUE DISPONGAN DEL DERECHO A ENAJENAR SUS PARTICIPACIONES (Art. 4.1.6º LME)</w:t>
      </w:r>
    </w:p>
    <w:p w14:paraId="6D2FD412" w14:textId="77777777" w:rsidR="00B87DA8" w:rsidRPr="00CA15D5" w:rsidRDefault="00B87DA8" w:rsidP="00CA15D5">
      <w:pPr>
        <w:spacing w:after="160"/>
        <w:ind w:left="720"/>
        <w:contextualSpacing/>
        <w:jc w:val="both"/>
        <w:rPr>
          <w:b/>
          <w:bCs/>
          <w:szCs w:val="24"/>
          <w:lang w:val="es-ES"/>
        </w:rPr>
      </w:pPr>
    </w:p>
    <w:p w14:paraId="5EE79985" w14:textId="77777777" w:rsidR="00B87DA8" w:rsidRPr="00CA15D5" w:rsidRDefault="00B87DA8" w:rsidP="00CA15D5">
      <w:pPr>
        <w:spacing w:after="160"/>
        <w:contextualSpacing/>
        <w:jc w:val="both"/>
        <w:rPr>
          <w:szCs w:val="24"/>
          <w:lang w:val="es-ES"/>
        </w:rPr>
      </w:pPr>
      <w:r w:rsidRPr="00CA15D5">
        <w:rPr>
          <w:szCs w:val="24"/>
          <w:lang w:val="es-ES"/>
        </w:rPr>
        <w:t>Conforme a lo previsto en el artículo 12.1 de la LME y en la medida en que las Sociedades Participantes están íntegramente participadas por el mismo accionista único, no procede ofrecer ninguna compensación en efectivo, puesto que no se dará el supuesto previsto en el artículo 12 de la LME.</w:t>
      </w:r>
    </w:p>
    <w:p w14:paraId="75F95B34" w14:textId="77777777" w:rsidR="00B87DA8" w:rsidRPr="00CA15D5" w:rsidRDefault="00B87DA8" w:rsidP="00CA15D5">
      <w:pPr>
        <w:spacing w:after="160"/>
        <w:ind w:left="720"/>
        <w:contextualSpacing/>
        <w:jc w:val="both"/>
        <w:rPr>
          <w:szCs w:val="24"/>
          <w:lang w:val="es-ES"/>
        </w:rPr>
      </w:pPr>
    </w:p>
    <w:p w14:paraId="7A2CDC90" w14:textId="77777777" w:rsidR="00B87DA8" w:rsidRPr="00CA15D5" w:rsidRDefault="00B87DA8" w:rsidP="00CA15D5">
      <w:pPr>
        <w:numPr>
          <w:ilvl w:val="0"/>
          <w:numId w:val="19"/>
        </w:numPr>
        <w:spacing w:after="160"/>
        <w:ind w:hanging="720"/>
        <w:contextualSpacing/>
        <w:jc w:val="both"/>
        <w:rPr>
          <w:b/>
          <w:bCs/>
          <w:szCs w:val="24"/>
          <w:lang w:val="es-ES"/>
        </w:rPr>
      </w:pPr>
      <w:r w:rsidRPr="00CA15D5">
        <w:rPr>
          <w:b/>
          <w:bCs/>
          <w:szCs w:val="24"/>
          <w:lang w:val="es-ES"/>
        </w:rPr>
        <w:t>CONSECUENCIAS PROBABLES DE LA FUSIÓN PARA EL EMPLEO (Art. 4.1.7º LME)</w:t>
      </w:r>
    </w:p>
    <w:p w14:paraId="26167820" w14:textId="77777777" w:rsidR="00B87DA8" w:rsidRPr="00CA15D5" w:rsidRDefault="00B87DA8" w:rsidP="00CA15D5">
      <w:pPr>
        <w:spacing w:after="160"/>
        <w:ind w:left="720"/>
        <w:contextualSpacing/>
        <w:jc w:val="both"/>
        <w:rPr>
          <w:b/>
          <w:bCs/>
          <w:szCs w:val="24"/>
          <w:lang w:val="es-ES"/>
        </w:rPr>
      </w:pPr>
    </w:p>
    <w:p w14:paraId="470B282F" w14:textId="77777777" w:rsidR="00B87DA8" w:rsidRPr="00CA15D5" w:rsidRDefault="00B87DA8" w:rsidP="00CA15D5">
      <w:pPr>
        <w:spacing w:after="160"/>
        <w:contextualSpacing/>
        <w:jc w:val="both"/>
        <w:rPr>
          <w:szCs w:val="24"/>
          <w:lang w:val="es-ES"/>
        </w:rPr>
      </w:pPr>
      <w:r w:rsidRPr="00CA15D5">
        <w:rPr>
          <w:szCs w:val="24"/>
          <w:lang w:val="es-ES"/>
        </w:rPr>
        <w:t>A los efectos del artículo 4.1.7º LME, se hace constar que la Fusión no tendrá efectos sobre el empleo.</w:t>
      </w:r>
    </w:p>
    <w:p w14:paraId="121174A2" w14:textId="77777777" w:rsidR="00B87DA8" w:rsidRPr="00CA15D5" w:rsidRDefault="00B87DA8" w:rsidP="00CA15D5">
      <w:pPr>
        <w:spacing w:after="160"/>
        <w:ind w:left="720"/>
        <w:contextualSpacing/>
        <w:jc w:val="both"/>
        <w:rPr>
          <w:szCs w:val="24"/>
          <w:lang w:val="es-ES"/>
        </w:rPr>
      </w:pPr>
    </w:p>
    <w:p w14:paraId="42B4315C" w14:textId="77777777" w:rsidR="00B87DA8" w:rsidRPr="00CA15D5" w:rsidRDefault="00B87DA8" w:rsidP="00CA15D5">
      <w:pPr>
        <w:spacing w:after="160"/>
        <w:contextualSpacing/>
        <w:jc w:val="both"/>
        <w:rPr>
          <w:szCs w:val="24"/>
          <w:lang w:val="es-ES"/>
        </w:rPr>
      </w:pPr>
      <w:r w:rsidRPr="00CA15D5">
        <w:rPr>
          <w:szCs w:val="24"/>
          <w:lang w:val="es-ES"/>
        </w:rPr>
        <w:t xml:space="preserve">La Sociedad Absorbente se subrogará en los derechos y obligaciones laborales y de Seguridad Social de la Sociedad Absorbida, incluyendo los compromisos por pensiones y, en general, las obligaciones adquiridas en materia de protección social complementaria, y ello conforme al régimen de sucesión de empresa regulado en el artículo 44 del Real Decreto Legislativo 2/2015, de 23 de octubre, por el que se aprueba el texto refundido de la Ley del Estatuto de los Trabajadores. </w:t>
      </w:r>
    </w:p>
    <w:p w14:paraId="15D66D57" w14:textId="77777777" w:rsidR="00B87DA8" w:rsidRPr="00CA15D5" w:rsidRDefault="00B87DA8" w:rsidP="00CA15D5">
      <w:pPr>
        <w:spacing w:after="160"/>
        <w:ind w:left="720"/>
        <w:contextualSpacing/>
        <w:jc w:val="both"/>
        <w:rPr>
          <w:szCs w:val="24"/>
          <w:lang w:val="es-ES"/>
        </w:rPr>
      </w:pPr>
    </w:p>
    <w:p w14:paraId="5E2D710E" w14:textId="77777777" w:rsidR="00B87DA8" w:rsidRPr="00CA15D5" w:rsidRDefault="00B87DA8" w:rsidP="00CA15D5">
      <w:pPr>
        <w:spacing w:after="160"/>
        <w:contextualSpacing/>
        <w:jc w:val="both"/>
        <w:rPr>
          <w:szCs w:val="24"/>
          <w:lang w:val="es-ES"/>
        </w:rPr>
      </w:pPr>
      <w:r w:rsidRPr="00CA15D5">
        <w:rPr>
          <w:szCs w:val="24"/>
          <w:lang w:val="es-ES"/>
        </w:rPr>
        <w:t>Los correspondientes trámites de baja en la Sociedad Absorbida y de alta en la Sociedad Absorbente por sucesión de empresa, derivados de la Fusión, se notificarán a los organismos públicos a los que resulte procedente, en particular a la Tesorería General de la Seguridad Social.</w:t>
      </w:r>
    </w:p>
    <w:p w14:paraId="105706BF" w14:textId="77777777" w:rsidR="00B87DA8" w:rsidRPr="00CA15D5" w:rsidRDefault="00B87DA8" w:rsidP="00CA15D5">
      <w:pPr>
        <w:spacing w:after="160"/>
        <w:ind w:left="720"/>
        <w:contextualSpacing/>
        <w:jc w:val="both"/>
        <w:rPr>
          <w:szCs w:val="24"/>
          <w:lang w:val="es-ES"/>
        </w:rPr>
      </w:pPr>
    </w:p>
    <w:p w14:paraId="75AA8CFF" w14:textId="77777777" w:rsidR="00B87DA8" w:rsidRPr="00CA15D5" w:rsidRDefault="00B87DA8" w:rsidP="00CA15D5">
      <w:pPr>
        <w:spacing w:after="160"/>
        <w:contextualSpacing/>
        <w:jc w:val="both"/>
        <w:rPr>
          <w:szCs w:val="24"/>
          <w:lang w:val="es-ES"/>
        </w:rPr>
      </w:pPr>
      <w:r w:rsidRPr="00CA15D5">
        <w:rPr>
          <w:szCs w:val="24"/>
          <w:lang w:val="es-ES"/>
        </w:rPr>
        <w:t xml:space="preserve">Se hace constar que, tras la ejecución de la Fusión, la Sociedad Absorbente completará el análisis de los solapamientos, duplicidades y economías de escala derivadas del proceso, sin que a esta fecha se haya tomado ninguna decisión en relación con las medidas de índole laboral que será necesario adoptar para proceder a la integración de las plantillas como consecuencia de la operación. En todo caso, la integración de las plantillas se llevará a cabo respetando los procedimientos legalmente previstos en cada momento y, especialmente, lo relativo a los </w:t>
      </w:r>
      <w:r w:rsidRPr="00CA15D5">
        <w:rPr>
          <w:szCs w:val="24"/>
          <w:lang w:val="es-ES"/>
        </w:rPr>
        <w:lastRenderedPageBreak/>
        <w:t>derechos de información y consulta de los representantes de los trabajadores, manteniéndose con estos las correspondientes reuniones y negociaciones que permitan desarrollar la referida integración de las plantillas con el mayor acuerdo posible entre las partes.</w:t>
      </w:r>
    </w:p>
    <w:p w14:paraId="2AF01B02" w14:textId="77777777" w:rsidR="00B87DA8" w:rsidRPr="00CA15D5" w:rsidRDefault="00B87DA8" w:rsidP="00CA15D5">
      <w:pPr>
        <w:spacing w:after="160"/>
        <w:ind w:left="720"/>
        <w:contextualSpacing/>
        <w:jc w:val="both"/>
        <w:rPr>
          <w:szCs w:val="24"/>
          <w:lang w:val="es-ES"/>
        </w:rPr>
      </w:pPr>
    </w:p>
    <w:p w14:paraId="5848E5AE" w14:textId="77777777" w:rsidR="00B87DA8" w:rsidRPr="00CA15D5" w:rsidRDefault="00B87DA8" w:rsidP="00CA15D5">
      <w:pPr>
        <w:spacing w:after="160"/>
        <w:contextualSpacing/>
        <w:jc w:val="both"/>
        <w:rPr>
          <w:szCs w:val="24"/>
          <w:lang w:val="es-ES"/>
        </w:rPr>
      </w:pPr>
      <w:r w:rsidRPr="00CA15D5">
        <w:rPr>
          <w:szCs w:val="24"/>
          <w:lang w:val="es-ES"/>
        </w:rPr>
        <w:t>Asimismo, se hace constar que en cumplimiento de lo dispuesto en el artículo 9.2 LME y de conformidad con lo establecido en el artículo 5 LME, se va a formular el informe del órgano de administración destinado a los trabajadores, que será puesto a disposición de ambas Sociedades Participantes junto con el presente Proyecto de Fusión antes de la formalización de la Fusión respetando los plazos legalmente previstos, a los efectos legales oportunos.</w:t>
      </w:r>
    </w:p>
    <w:p w14:paraId="7FA028C3" w14:textId="77777777" w:rsidR="00B87DA8" w:rsidRPr="00CA15D5" w:rsidRDefault="00B87DA8" w:rsidP="00CA15D5">
      <w:pPr>
        <w:spacing w:after="160"/>
        <w:ind w:left="720"/>
        <w:contextualSpacing/>
        <w:jc w:val="both"/>
        <w:rPr>
          <w:szCs w:val="24"/>
          <w:lang w:val="es-ES"/>
        </w:rPr>
      </w:pPr>
    </w:p>
    <w:p w14:paraId="3E48B7E7" w14:textId="77777777" w:rsidR="00B87DA8" w:rsidRPr="00CA15D5" w:rsidRDefault="00B87DA8" w:rsidP="00CA15D5">
      <w:pPr>
        <w:numPr>
          <w:ilvl w:val="0"/>
          <w:numId w:val="19"/>
        </w:numPr>
        <w:spacing w:after="160"/>
        <w:ind w:hanging="720"/>
        <w:contextualSpacing/>
        <w:jc w:val="both"/>
        <w:rPr>
          <w:b/>
          <w:bCs/>
          <w:szCs w:val="24"/>
          <w:lang w:val="es-ES"/>
        </w:rPr>
      </w:pPr>
      <w:r w:rsidRPr="00CA15D5">
        <w:rPr>
          <w:b/>
          <w:bCs/>
          <w:szCs w:val="24"/>
          <w:lang w:val="es-ES"/>
        </w:rPr>
        <w:t>DATOS Y ESTATUTOS SOCIALES DE LA SOCIEDAD RESULTANTE TRAS LA FUSIÓN (Art. 40.2º LME)</w:t>
      </w:r>
    </w:p>
    <w:p w14:paraId="06C3E486" w14:textId="77777777" w:rsidR="00B87DA8" w:rsidRPr="00CA15D5" w:rsidRDefault="00B87DA8" w:rsidP="00CA15D5">
      <w:pPr>
        <w:spacing w:after="160"/>
        <w:ind w:left="1080"/>
        <w:contextualSpacing/>
        <w:jc w:val="both"/>
        <w:rPr>
          <w:szCs w:val="24"/>
          <w:lang w:val="es-ES"/>
        </w:rPr>
      </w:pPr>
    </w:p>
    <w:p w14:paraId="2422A6B9" w14:textId="77777777" w:rsidR="00B87DA8" w:rsidRPr="00CA15D5" w:rsidRDefault="00B87DA8" w:rsidP="00CA15D5">
      <w:pPr>
        <w:spacing w:after="160"/>
        <w:contextualSpacing/>
        <w:jc w:val="both"/>
        <w:rPr>
          <w:szCs w:val="24"/>
          <w:lang w:val="es-ES"/>
        </w:rPr>
      </w:pPr>
      <w:r w:rsidRPr="00CA15D5">
        <w:rPr>
          <w:szCs w:val="24"/>
          <w:lang w:val="es-ES"/>
        </w:rPr>
        <w:t>A los efectos de lo previsto en el artículo 40.2º LME, se hace constar que no se creará una sociedad de nueva creación como resultado de la Fusión. La Sociedad Absorbida se integrará en la Sociedad Absorbente, mediante su extinción sin liquidación y la transmisión en bloque de su patrimonio a favor de la Sociedad Absorbente, que adquirirá y se subrogará, por sucesión universal, en la totalidad de los derechos y obligaciones que componen el patrimonio de la Sociedad Absorbida.</w:t>
      </w:r>
    </w:p>
    <w:p w14:paraId="6062C9F7" w14:textId="77777777" w:rsidR="00B87DA8" w:rsidRPr="00CA15D5" w:rsidRDefault="00B87DA8" w:rsidP="00CA15D5">
      <w:pPr>
        <w:spacing w:after="160"/>
        <w:ind w:left="1080"/>
        <w:contextualSpacing/>
        <w:jc w:val="both"/>
        <w:rPr>
          <w:szCs w:val="24"/>
          <w:lang w:val="es-ES"/>
        </w:rPr>
      </w:pPr>
    </w:p>
    <w:p w14:paraId="48EB02DD" w14:textId="77777777" w:rsidR="00B87DA8" w:rsidRPr="00CA15D5" w:rsidRDefault="00B87DA8" w:rsidP="00CA15D5">
      <w:pPr>
        <w:spacing w:after="160"/>
        <w:contextualSpacing/>
        <w:jc w:val="both"/>
        <w:rPr>
          <w:szCs w:val="24"/>
          <w:lang w:val="es-ES"/>
        </w:rPr>
      </w:pPr>
      <w:r w:rsidRPr="00CA15D5">
        <w:rPr>
          <w:szCs w:val="24"/>
          <w:lang w:val="es-ES"/>
        </w:rPr>
        <w:t xml:space="preserve">Como consecuencia de la Fusión, los Estatutos Sociales de AECS como Sociedad Absorbente no se verán modificados ya que, la actividad de distribución de seguros llevada a cabo por AIS como Sociedad Absorbida tal y como la define el artículo 129.1 del Real Decreto-ley 3/2020, así como otras actividades preparatorias, auxiliares o complementarias, se encuentran íntegramente contenidas en el objeto social de AECS previsto en el artículo 2 de sus Estatutos Sociales, del cual se incluye a continuación extracto literal parcial: </w:t>
      </w:r>
      <w:r w:rsidRPr="00CA15D5">
        <w:rPr>
          <w:i/>
          <w:iCs/>
          <w:szCs w:val="24"/>
          <w:lang w:val="es-ES"/>
        </w:rPr>
        <w:t xml:space="preserve">“La Sociedad tiene por objeto el desarrollo de operaciones de seguros privados autorizados de conformidad con la legislación de seguros privados y demás disposiciones pertinentes, </w:t>
      </w:r>
      <w:r w:rsidRPr="00CA15D5">
        <w:rPr>
          <w:b/>
          <w:bCs/>
          <w:i/>
          <w:iCs/>
          <w:szCs w:val="24"/>
          <w:lang w:val="es-ES"/>
        </w:rPr>
        <w:t>las operaciones preparatorias o complementarias de las anteriores</w:t>
      </w:r>
      <w:r w:rsidRPr="00CA15D5">
        <w:rPr>
          <w:szCs w:val="24"/>
          <w:lang w:val="es-ES"/>
        </w:rPr>
        <w:t xml:space="preserve"> </w:t>
      </w:r>
      <w:r w:rsidRPr="00CA15D5">
        <w:rPr>
          <w:i/>
          <w:iCs/>
          <w:szCs w:val="24"/>
          <w:lang w:val="es-ES"/>
        </w:rPr>
        <w:t>y las actividades de prevención de daños vinculadas a la actividad aseguradora</w:t>
      </w:r>
      <w:r w:rsidRPr="00CA15D5">
        <w:rPr>
          <w:szCs w:val="24"/>
          <w:lang w:val="es-ES"/>
        </w:rPr>
        <w:t xml:space="preserve"> (…)”. </w:t>
      </w:r>
    </w:p>
    <w:p w14:paraId="7AD9B4F8" w14:textId="77777777" w:rsidR="00B87DA8" w:rsidRPr="00CA15D5" w:rsidRDefault="00B87DA8" w:rsidP="00CA15D5">
      <w:pPr>
        <w:spacing w:after="160"/>
        <w:ind w:left="720"/>
        <w:contextualSpacing/>
        <w:jc w:val="both"/>
        <w:rPr>
          <w:szCs w:val="24"/>
          <w:lang w:val="es-ES"/>
        </w:rPr>
      </w:pPr>
    </w:p>
    <w:p w14:paraId="0D008263" w14:textId="77777777" w:rsidR="00B87DA8" w:rsidRPr="00CA15D5" w:rsidRDefault="00B87DA8" w:rsidP="00CA15D5">
      <w:pPr>
        <w:spacing w:after="160"/>
        <w:contextualSpacing/>
        <w:jc w:val="both"/>
        <w:rPr>
          <w:szCs w:val="24"/>
          <w:lang w:val="es-ES"/>
        </w:rPr>
      </w:pPr>
      <w:r w:rsidRPr="00CA15D5">
        <w:rPr>
          <w:szCs w:val="24"/>
          <w:lang w:val="es-ES"/>
        </w:rPr>
        <w:t xml:space="preserve">Por otro lado, la Fusión no requerirá el aumento de capital de la Sociedad Absorbente, de conformidad con la aplicación del artículo 53.1.3ª LME (por remisión del artículo 56 LME). </w:t>
      </w:r>
    </w:p>
    <w:p w14:paraId="6796BFD8" w14:textId="77777777" w:rsidR="00B87DA8" w:rsidRPr="00CA15D5" w:rsidRDefault="00B87DA8" w:rsidP="00CA15D5">
      <w:pPr>
        <w:spacing w:after="160"/>
        <w:ind w:left="720"/>
        <w:contextualSpacing/>
        <w:jc w:val="both"/>
        <w:rPr>
          <w:szCs w:val="24"/>
          <w:lang w:val="es-ES"/>
        </w:rPr>
      </w:pPr>
    </w:p>
    <w:p w14:paraId="1D4A9DEF" w14:textId="77777777" w:rsidR="00B87DA8" w:rsidRPr="00CA15D5" w:rsidRDefault="00B87DA8" w:rsidP="00CA15D5">
      <w:pPr>
        <w:spacing w:after="160"/>
        <w:contextualSpacing/>
        <w:jc w:val="both"/>
        <w:rPr>
          <w:szCs w:val="24"/>
          <w:lang w:val="es-ES"/>
        </w:rPr>
      </w:pPr>
      <w:r w:rsidRPr="00CA15D5">
        <w:rPr>
          <w:szCs w:val="24"/>
          <w:lang w:val="es-ES"/>
        </w:rPr>
        <w:t xml:space="preserve">Por lo tanto, no será necesario proponer al accionista único de la Sociedad Absorbente la modificación del artículo estatutario relativo al capital social, ni tampoco de ningún otro artículo de los estatutos sociales de la Sociedad Absorbente. </w:t>
      </w:r>
    </w:p>
    <w:p w14:paraId="529992D8" w14:textId="77777777" w:rsidR="00B87DA8" w:rsidRPr="00CA15D5" w:rsidRDefault="00B87DA8" w:rsidP="00CA15D5">
      <w:pPr>
        <w:spacing w:after="160"/>
        <w:ind w:left="720"/>
        <w:contextualSpacing/>
        <w:jc w:val="both"/>
        <w:rPr>
          <w:szCs w:val="24"/>
          <w:lang w:val="es-ES"/>
        </w:rPr>
      </w:pPr>
      <w:r w:rsidRPr="00CA15D5">
        <w:rPr>
          <w:szCs w:val="24"/>
          <w:lang w:val="es-ES"/>
        </w:rPr>
        <w:t xml:space="preserve"> </w:t>
      </w:r>
    </w:p>
    <w:p w14:paraId="68A34B12" w14:textId="77777777" w:rsidR="00B87DA8" w:rsidRPr="00CA15D5" w:rsidRDefault="00B87DA8" w:rsidP="00CA15D5">
      <w:pPr>
        <w:numPr>
          <w:ilvl w:val="0"/>
          <w:numId w:val="19"/>
        </w:numPr>
        <w:spacing w:after="160"/>
        <w:ind w:hanging="720"/>
        <w:contextualSpacing/>
        <w:jc w:val="both"/>
        <w:rPr>
          <w:b/>
          <w:bCs/>
          <w:szCs w:val="24"/>
          <w:lang w:val="es-ES"/>
        </w:rPr>
      </w:pPr>
      <w:r w:rsidRPr="00CA15D5">
        <w:rPr>
          <w:b/>
          <w:bCs/>
          <w:szCs w:val="24"/>
          <w:lang w:val="es-ES"/>
        </w:rPr>
        <w:t>INCIDENCIA DE LA FUSIÓN SOBRE LAS APORTACIONES DE INDUSTRIA O PRESTACIONES ACCESORIAS (Art. 40.4º LME)</w:t>
      </w:r>
    </w:p>
    <w:p w14:paraId="5B83F33D" w14:textId="77777777" w:rsidR="00B87DA8" w:rsidRPr="00CA15D5" w:rsidRDefault="00B87DA8" w:rsidP="00CA15D5">
      <w:pPr>
        <w:spacing w:after="160"/>
        <w:ind w:left="720"/>
        <w:contextualSpacing/>
        <w:jc w:val="both"/>
        <w:rPr>
          <w:b/>
          <w:bCs/>
          <w:szCs w:val="24"/>
          <w:lang w:val="es-ES"/>
        </w:rPr>
      </w:pPr>
    </w:p>
    <w:p w14:paraId="7017551B" w14:textId="77777777" w:rsidR="00B87DA8" w:rsidRPr="00CA15D5" w:rsidRDefault="00B87DA8" w:rsidP="00CA15D5">
      <w:pPr>
        <w:spacing w:after="160"/>
        <w:contextualSpacing/>
        <w:jc w:val="both"/>
        <w:rPr>
          <w:szCs w:val="24"/>
          <w:lang w:val="es-ES"/>
        </w:rPr>
      </w:pPr>
      <w:r w:rsidRPr="00CA15D5">
        <w:rPr>
          <w:szCs w:val="24"/>
          <w:lang w:val="es-ES"/>
        </w:rPr>
        <w:lastRenderedPageBreak/>
        <w:t>A los efectos de lo previsto en el artículo 40.4º LME, se hace constar que como consecuencia de la Fusión no se otorgarán compensaciones de ningún tipo en la Sociedad Absorbente a aquellos socios de las Sociedades Participantes que sean socios industriales o socios con obligación de realizar prestaciones accesorias, de existir alguno de ellos.</w:t>
      </w:r>
    </w:p>
    <w:p w14:paraId="4A28E6DE" w14:textId="77777777" w:rsidR="00B87DA8" w:rsidRPr="00CA15D5" w:rsidRDefault="00B87DA8" w:rsidP="00CA15D5">
      <w:pPr>
        <w:spacing w:after="160"/>
        <w:ind w:left="720"/>
        <w:contextualSpacing/>
        <w:jc w:val="both"/>
        <w:rPr>
          <w:szCs w:val="24"/>
          <w:lang w:val="es-ES"/>
        </w:rPr>
      </w:pPr>
    </w:p>
    <w:p w14:paraId="1E2DA872" w14:textId="77777777" w:rsidR="00B87DA8" w:rsidRPr="00CA15D5" w:rsidRDefault="00B87DA8" w:rsidP="00CA15D5">
      <w:pPr>
        <w:numPr>
          <w:ilvl w:val="0"/>
          <w:numId w:val="19"/>
        </w:numPr>
        <w:spacing w:after="160"/>
        <w:ind w:hanging="720"/>
        <w:contextualSpacing/>
        <w:jc w:val="both"/>
        <w:rPr>
          <w:b/>
          <w:bCs/>
          <w:szCs w:val="24"/>
          <w:lang w:val="es-ES"/>
        </w:rPr>
      </w:pPr>
      <w:r w:rsidRPr="00CA15D5">
        <w:rPr>
          <w:b/>
          <w:bCs/>
          <w:szCs w:val="24"/>
          <w:lang w:val="es-ES"/>
        </w:rPr>
        <w:t>FECHA A PARTIR DE LA CUAL LA FUSIÓN TENDRÁ EFECTOS CONTABLES (Art. 40.6º LME)</w:t>
      </w:r>
    </w:p>
    <w:p w14:paraId="58A3D010" w14:textId="77777777" w:rsidR="00B87DA8" w:rsidRPr="00CA15D5" w:rsidRDefault="00B87DA8" w:rsidP="00CA15D5">
      <w:pPr>
        <w:spacing w:after="160"/>
        <w:ind w:left="720"/>
        <w:contextualSpacing/>
        <w:jc w:val="both"/>
        <w:rPr>
          <w:szCs w:val="24"/>
          <w:lang w:val="es-ES"/>
        </w:rPr>
      </w:pPr>
    </w:p>
    <w:p w14:paraId="1F71EDED" w14:textId="77777777" w:rsidR="00B87DA8" w:rsidRPr="00CA15D5" w:rsidRDefault="00B87DA8" w:rsidP="00CA15D5">
      <w:pPr>
        <w:spacing w:after="160"/>
        <w:contextualSpacing/>
        <w:jc w:val="both"/>
        <w:rPr>
          <w:szCs w:val="24"/>
          <w:lang w:val="es-ES"/>
        </w:rPr>
      </w:pPr>
      <w:r w:rsidRPr="00CA15D5">
        <w:rPr>
          <w:szCs w:val="24"/>
          <w:lang w:val="es-ES"/>
        </w:rPr>
        <w:t xml:space="preserve">A efectos contables, se fija como fecha a partir de la cual las operaciones de la sociedad que se extingue han de considerarse realizadas por la Sociedad Absorbente, el 1 de enero de 2026. </w:t>
      </w:r>
    </w:p>
    <w:p w14:paraId="70C15717" w14:textId="77777777" w:rsidR="00B87DA8" w:rsidRPr="00CA15D5" w:rsidRDefault="00B87DA8" w:rsidP="00CA15D5">
      <w:pPr>
        <w:spacing w:after="160"/>
        <w:ind w:left="720"/>
        <w:contextualSpacing/>
        <w:jc w:val="both"/>
        <w:rPr>
          <w:szCs w:val="24"/>
          <w:lang w:val="es-ES"/>
        </w:rPr>
      </w:pPr>
    </w:p>
    <w:p w14:paraId="4436FDD3" w14:textId="77777777" w:rsidR="00B87DA8" w:rsidRPr="00CA15D5" w:rsidRDefault="00B87DA8" w:rsidP="00CA15D5">
      <w:pPr>
        <w:numPr>
          <w:ilvl w:val="0"/>
          <w:numId w:val="19"/>
        </w:numPr>
        <w:spacing w:after="160"/>
        <w:ind w:hanging="720"/>
        <w:contextualSpacing/>
        <w:jc w:val="both"/>
        <w:rPr>
          <w:b/>
          <w:bCs/>
          <w:szCs w:val="24"/>
          <w:lang w:val="es-ES"/>
        </w:rPr>
      </w:pPr>
      <w:r w:rsidRPr="00CA15D5">
        <w:rPr>
          <w:b/>
          <w:bCs/>
          <w:szCs w:val="24"/>
          <w:lang w:val="es-ES"/>
        </w:rPr>
        <w:t>ACREDITACIÓN DE ENCONTRARSE AL CORRIENTE EN EL CUMPLIMIENTO DE LAS OBLIGACIONES TRIBUTARIAS Y FRENTE A LA SEGURIDAD SOCIAL (Art. 40.9º LME)</w:t>
      </w:r>
    </w:p>
    <w:p w14:paraId="0CB453DC" w14:textId="77777777" w:rsidR="00B87DA8" w:rsidRPr="00CA15D5" w:rsidRDefault="00B87DA8" w:rsidP="00CA15D5">
      <w:pPr>
        <w:spacing w:after="160"/>
        <w:ind w:left="720"/>
        <w:contextualSpacing/>
        <w:jc w:val="both"/>
        <w:rPr>
          <w:b/>
          <w:bCs/>
          <w:szCs w:val="24"/>
          <w:lang w:val="es-ES"/>
        </w:rPr>
      </w:pPr>
    </w:p>
    <w:p w14:paraId="7D01C7FB" w14:textId="77777777" w:rsidR="00B87DA8" w:rsidRPr="00CA15D5" w:rsidRDefault="00B87DA8" w:rsidP="00CA15D5">
      <w:pPr>
        <w:spacing w:after="160"/>
        <w:contextualSpacing/>
        <w:jc w:val="both"/>
        <w:rPr>
          <w:szCs w:val="24"/>
          <w:lang w:val="es-ES"/>
        </w:rPr>
      </w:pPr>
      <w:r w:rsidRPr="00CA15D5">
        <w:rPr>
          <w:szCs w:val="24"/>
          <w:lang w:val="es-ES"/>
        </w:rPr>
        <w:t xml:space="preserve">A los efectos de lo previsto en el artículo 40.9º LME, se acompañan como </w:t>
      </w:r>
      <w:r w:rsidRPr="00CA15D5">
        <w:rPr>
          <w:b/>
          <w:bCs/>
          <w:szCs w:val="24"/>
          <w:u w:val="single"/>
          <w:lang w:val="es-ES"/>
        </w:rPr>
        <w:t>Anexo III</w:t>
      </w:r>
      <w:r w:rsidRPr="00CA15D5">
        <w:rPr>
          <w:szCs w:val="24"/>
          <w:lang w:val="es-ES"/>
        </w:rPr>
        <w:t xml:space="preserve"> al presente Proyecto de Fusión los certificados emitidos por la Agencia Estatal de la Administración Tributaria y la Tesorería General de la Seguridad Social, en los que se acredita que las Sociedades Participantes en la Fusión se encuentran al corriente en el cumplimiento de las obligaciones tributarias y frente a la Seguridad Social, respectivamente.</w:t>
      </w:r>
    </w:p>
    <w:p w14:paraId="4861D6B4" w14:textId="77777777" w:rsidR="00B87DA8" w:rsidRPr="00CA15D5" w:rsidRDefault="00B87DA8" w:rsidP="00CA15D5">
      <w:pPr>
        <w:spacing w:after="160"/>
        <w:ind w:left="720"/>
        <w:contextualSpacing/>
        <w:jc w:val="both"/>
        <w:rPr>
          <w:szCs w:val="24"/>
          <w:lang w:val="es-ES"/>
        </w:rPr>
      </w:pPr>
    </w:p>
    <w:p w14:paraId="6C768E3B" w14:textId="77777777" w:rsidR="00B87DA8" w:rsidRPr="00CA15D5" w:rsidRDefault="00B87DA8" w:rsidP="00CA15D5">
      <w:pPr>
        <w:numPr>
          <w:ilvl w:val="0"/>
          <w:numId w:val="19"/>
        </w:numPr>
        <w:spacing w:after="160"/>
        <w:ind w:hanging="720"/>
        <w:contextualSpacing/>
        <w:jc w:val="both"/>
        <w:rPr>
          <w:b/>
          <w:bCs/>
          <w:szCs w:val="24"/>
          <w:lang w:val="es-ES"/>
        </w:rPr>
      </w:pPr>
      <w:r w:rsidRPr="00CA15D5">
        <w:rPr>
          <w:b/>
          <w:bCs/>
          <w:szCs w:val="24"/>
          <w:lang w:val="es-ES"/>
        </w:rPr>
        <w:t>EVENTUAL IMPACTO DE GÉNERO EN LOS ÓRGANOS DE ADMINISTRACIÓN</w:t>
      </w:r>
    </w:p>
    <w:p w14:paraId="1B3B5B48" w14:textId="77777777" w:rsidR="00B87DA8" w:rsidRPr="00CA15D5" w:rsidRDefault="00B87DA8" w:rsidP="00CA15D5">
      <w:pPr>
        <w:spacing w:after="160"/>
        <w:ind w:left="720"/>
        <w:contextualSpacing/>
        <w:jc w:val="both"/>
        <w:rPr>
          <w:b/>
          <w:bCs/>
          <w:szCs w:val="24"/>
          <w:lang w:val="es-ES"/>
        </w:rPr>
      </w:pPr>
    </w:p>
    <w:p w14:paraId="4F2997B9" w14:textId="77777777" w:rsidR="00B87DA8" w:rsidRPr="00CA15D5" w:rsidRDefault="00B87DA8" w:rsidP="00CA15D5">
      <w:pPr>
        <w:spacing w:after="160"/>
        <w:contextualSpacing/>
        <w:jc w:val="both"/>
        <w:rPr>
          <w:szCs w:val="24"/>
          <w:lang w:val="es-ES"/>
        </w:rPr>
      </w:pPr>
      <w:r w:rsidRPr="00CA15D5">
        <w:rPr>
          <w:szCs w:val="24"/>
          <w:lang w:val="es-ES"/>
        </w:rPr>
        <w:t>Se hace constar que no está previsto que, con ocasión de la Fusión, se produzcan cambios de especial significación en la estructura de los respectivos órganos de administración de las Sociedades Participantes, desde el punto de vista de su distribución por géneros.</w:t>
      </w:r>
    </w:p>
    <w:p w14:paraId="09AE6163" w14:textId="77777777" w:rsidR="00B87DA8" w:rsidRPr="00CA15D5" w:rsidRDefault="00B87DA8" w:rsidP="00CA15D5">
      <w:pPr>
        <w:spacing w:after="160"/>
        <w:ind w:left="720"/>
        <w:contextualSpacing/>
        <w:jc w:val="both"/>
        <w:rPr>
          <w:szCs w:val="24"/>
          <w:lang w:val="es-ES"/>
        </w:rPr>
      </w:pPr>
    </w:p>
    <w:p w14:paraId="01DAC9E4" w14:textId="77777777" w:rsidR="00B87DA8" w:rsidRPr="00CA15D5" w:rsidRDefault="00B87DA8" w:rsidP="00CA15D5">
      <w:pPr>
        <w:numPr>
          <w:ilvl w:val="0"/>
          <w:numId w:val="19"/>
        </w:numPr>
        <w:spacing w:after="160"/>
        <w:ind w:hanging="720"/>
        <w:contextualSpacing/>
        <w:jc w:val="both"/>
        <w:rPr>
          <w:b/>
          <w:bCs/>
          <w:szCs w:val="24"/>
          <w:lang w:val="es-ES"/>
        </w:rPr>
      </w:pPr>
      <w:r w:rsidRPr="00CA15D5">
        <w:rPr>
          <w:b/>
          <w:bCs/>
          <w:szCs w:val="24"/>
          <w:lang w:val="es-ES"/>
        </w:rPr>
        <w:t>INCIDENCIA DE LA FUSIÓN EN LA RESPONSABILIDAD SOCIAL DE LA EMPRESA</w:t>
      </w:r>
    </w:p>
    <w:p w14:paraId="417FE8C6" w14:textId="77777777" w:rsidR="00B87DA8" w:rsidRPr="00CA15D5" w:rsidRDefault="00B87DA8" w:rsidP="00CA15D5">
      <w:pPr>
        <w:spacing w:after="160"/>
        <w:ind w:left="720"/>
        <w:contextualSpacing/>
        <w:jc w:val="both"/>
        <w:rPr>
          <w:szCs w:val="24"/>
          <w:lang w:val="es-ES"/>
        </w:rPr>
      </w:pPr>
    </w:p>
    <w:p w14:paraId="6311CF91" w14:textId="77777777" w:rsidR="00B87DA8" w:rsidRPr="00CA15D5" w:rsidRDefault="00B87DA8" w:rsidP="00CA15D5">
      <w:pPr>
        <w:spacing w:after="160"/>
        <w:contextualSpacing/>
        <w:jc w:val="both"/>
        <w:rPr>
          <w:szCs w:val="24"/>
          <w:lang w:val="es-ES"/>
        </w:rPr>
      </w:pPr>
      <w:r w:rsidRPr="00CA15D5">
        <w:rPr>
          <w:szCs w:val="24"/>
          <w:lang w:val="es-ES"/>
        </w:rPr>
        <w:t>Se hace constar que no cabe esperar que la actual política de responsabilidad social corporativa de las Sociedades Participantes vaya a sufrir modificaciones a consecuencia de la Fusión.</w:t>
      </w:r>
    </w:p>
    <w:p w14:paraId="3D54E423" w14:textId="77777777" w:rsidR="00B87DA8" w:rsidRPr="00CA15D5" w:rsidRDefault="00B87DA8" w:rsidP="00CA15D5">
      <w:pPr>
        <w:spacing w:after="160"/>
        <w:ind w:left="720"/>
        <w:contextualSpacing/>
        <w:rPr>
          <w:szCs w:val="24"/>
          <w:lang w:val="es-ES"/>
        </w:rPr>
      </w:pPr>
    </w:p>
    <w:p w14:paraId="7CC0F338" w14:textId="77777777" w:rsidR="00B87DA8" w:rsidRPr="00CA15D5" w:rsidRDefault="00B87DA8" w:rsidP="00CA15D5">
      <w:pPr>
        <w:numPr>
          <w:ilvl w:val="0"/>
          <w:numId w:val="19"/>
        </w:numPr>
        <w:spacing w:after="160"/>
        <w:ind w:hanging="720"/>
        <w:contextualSpacing/>
        <w:jc w:val="both"/>
        <w:rPr>
          <w:b/>
          <w:bCs/>
          <w:szCs w:val="24"/>
          <w:lang w:val="es-ES"/>
        </w:rPr>
      </w:pPr>
      <w:r w:rsidRPr="00CA15D5">
        <w:rPr>
          <w:b/>
          <w:bCs/>
          <w:szCs w:val="24"/>
          <w:lang w:val="es-ES"/>
        </w:rPr>
        <w:t>EFECTO DE LA FUSIÓN SOBRE SUS SUCURSALES Y SUS RESPECTIVOS PATRIMONIOS</w:t>
      </w:r>
    </w:p>
    <w:p w14:paraId="113FA9C0" w14:textId="77777777" w:rsidR="00B87DA8" w:rsidRPr="00CA15D5" w:rsidRDefault="00B87DA8" w:rsidP="00CA15D5">
      <w:pPr>
        <w:spacing w:after="160"/>
        <w:ind w:left="720"/>
        <w:contextualSpacing/>
        <w:jc w:val="both"/>
        <w:rPr>
          <w:szCs w:val="24"/>
          <w:lang w:val="es-ES"/>
        </w:rPr>
      </w:pPr>
    </w:p>
    <w:p w14:paraId="525FEEB6" w14:textId="77777777" w:rsidR="00B87DA8" w:rsidRPr="00CA15D5" w:rsidRDefault="00B87DA8" w:rsidP="00CA15D5">
      <w:pPr>
        <w:spacing w:after="160"/>
        <w:contextualSpacing/>
        <w:jc w:val="both"/>
        <w:rPr>
          <w:szCs w:val="24"/>
          <w:lang w:val="es-ES"/>
        </w:rPr>
      </w:pPr>
      <w:r w:rsidRPr="00CA15D5">
        <w:rPr>
          <w:szCs w:val="24"/>
          <w:lang w:val="es-ES"/>
        </w:rPr>
        <w:t xml:space="preserve">Como consecuencia de la Fusión, y en virtud del principio de sucesión universal, las sucursales de la Sociedad Absorbida en Italia y Francia (esto es, la Sucursal en Italia y la Sucursal en Francia) se extinguirán y desaparecerán automáticamente, sin necesidad de actos adicionales. En consecuencia, la totalidad de los bienes, derechos, obligaciones, relaciones jurídicas y patrimonios afectos a dichas sucursales se integrarán plenamente en el patrimonio de la </w:t>
      </w:r>
      <w:r w:rsidRPr="00CA15D5">
        <w:rPr>
          <w:szCs w:val="24"/>
          <w:lang w:val="es-ES"/>
        </w:rPr>
        <w:lastRenderedPageBreak/>
        <w:t xml:space="preserve">Sociedad Absorbente, que los asumirá en bloque y en todos sus términos, subrogándose en la titularidad y en la posición jurídica que correspondía a la Sociedad Absorbida, con continuidad plena en su actividad y sin solución de continuidad. Todo ello sin perjuicio de lo que se indica respecto de la continuidad en sede de la Sociedad Absorbente de las actividades comerciales de la Sociedad Absorbida en Italia y Francia. </w:t>
      </w:r>
    </w:p>
    <w:p w14:paraId="45558C4A" w14:textId="77777777" w:rsidR="00B87DA8" w:rsidRPr="00CA15D5" w:rsidRDefault="00B87DA8" w:rsidP="00CA15D5">
      <w:pPr>
        <w:spacing w:after="160"/>
        <w:ind w:left="720"/>
        <w:contextualSpacing/>
        <w:jc w:val="both"/>
        <w:rPr>
          <w:szCs w:val="24"/>
          <w:lang w:val="es-ES"/>
        </w:rPr>
      </w:pPr>
    </w:p>
    <w:p w14:paraId="7DF3DA5B" w14:textId="77777777" w:rsidR="00B87DA8" w:rsidRPr="00CA15D5" w:rsidRDefault="00B87DA8" w:rsidP="00CA15D5">
      <w:pPr>
        <w:spacing w:after="160"/>
        <w:contextualSpacing/>
        <w:jc w:val="both"/>
        <w:rPr>
          <w:szCs w:val="24"/>
          <w:lang w:val="es-ES"/>
        </w:rPr>
      </w:pPr>
      <w:r w:rsidRPr="00CA15D5">
        <w:rPr>
          <w:szCs w:val="24"/>
          <w:lang w:val="es-ES"/>
        </w:rPr>
        <w:t xml:space="preserve">Por lo que respecta al negocio llevado a cabo por la Sociedad Absorbida en Francia e Italia hasta la fecha de efectos de la Fusión, dicha actividad continuará desarrollándose sin solución de continuidad por la Sociedad Absorbente en régimen de libre prestación de servicios y, creadas las nuevas sucursales, paralelamente en régimen de derecho de establecimiento. </w:t>
      </w:r>
    </w:p>
    <w:p w14:paraId="0F0CCF58" w14:textId="77777777" w:rsidR="00B87DA8" w:rsidRPr="00CA15D5" w:rsidRDefault="00B87DA8" w:rsidP="00CA15D5">
      <w:pPr>
        <w:spacing w:after="160"/>
        <w:ind w:left="720"/>
        <w:contextualSpacing/>
        <w:jc w:val="both"/>
        <w:rPr>
          <w:szCs w:val="24"/>
          <w:lang w:val="es-ES"/>
        </w:rPr>
      </w:pPr>
    </w:p>
    <w:p w14:paraId="797B273A" w14:textId="77777777" w:rsidR="00B87DA8" w:rsidRPr="00CA15D5" w:rsidRDefault="00B87DA8" w:rsidP="00CA15D5">
      <w:pPr>
        <w:spacing w:after="160"/>
        <w:contextualSpacing/>
        <w:jc w:val="both"/>
        <w:rPr>
          <w:szCs w:val="24"/>
          <w:lang w:val="es-ES"/>
        </w:rPr>
      </w:pPr>
      <w:r w:rsidRPr="00CA15D5">
        <w:rPr>
          <w:szCs w:val="24"/>
          <w:lang w:val="es-ES"/>
        </w:rPr>
        <w:t>Asimismo, si AIS decide constituir la Filial Italiana, esta será adquirida por AECS como consecuencia de la fusión, y AECS también prestará servicios en Italia a través de esta. En este sentido, una parte sustancial de las actividades comerciales llevadas a cabo en Italia por la Sociedad Absorbida con la estructura de la Sucursal Italiana serán continuadas por la Filial Italiana (</w:t>
      </w:r>
      <w:proofErr w:type="spellStart"/>
      <w:r w:rsidRPr="00CA15D5">
        <w:rPr>
          <w:i/>
          <w:iCs/>
          <w:szCs w:val="24"/>
          <w:lang w:val="es-ES"/>
        </w:rPr>
        <w:t>Agenzia</w:t>
      </w:r>
      <w:proofErr w:type="spellEnd"/>
      <w:r w:rsidRPr="00CA15D5">
        <w:rPr>
          <w:i/>
          <w:iCs/>
          <w:szCs w:val="24"/>
          <w:lang w:val="es-ES"/>
        </w:rPr>
        <w:t xml:space="preserve"> di </w:t>
      </w:r>
      <w:proofErr w:type="spellStart"/>
      <w:r w:rsidRPr="00CA15D5">
        <w:rPr>
          <w:i/>
          <w:iCs/>
          <w:szCs w:val="24"/>
          <w:lang w:val="es-ES"/>
        </w:rPr>
        <w:t>Direzione</w:t>
      </w:r>
      <w:proofErr w:type="spellEnd"/>
      <w:r w:rsidRPr="00CA15D5">
        <w:rPr>
          <w:szCs w:val="24"/>
          <w:lang w:val="es-ES"/>
        </w:rPr>
        <w:t>) a fin de asegurar la mínima interrupción y afectación de la operación de Fusión a la actividad de las Sociedades Participantes en dicho mercado, en beneficio de los intermediarios y tomadores. En concreto, mientras que, actualmente, la distribución de productos de AECS en Italia se realiza mediante acuerdos de colaboración horizontal entre la Sucursal en Italia de AIS y los subdistribuidores (agentes físicos), con motivo de la fusión y de la creación (en su caso) de la Filial Italiana, se propondría la distribución bajo dos modalidades: (i) el mandato de agencia directo otorgado por AECS al subdistribuidor, y (</w:t>
      </w:r>
      <w:proofErr w:type="spellStart"/>
      <w:r w:rsidRPr="00CA15D5">
        <w:rPr>
          <w:szCs w:val="24"/>
          <w:lang w:val="es-ES"/>
        </w:rPr>
        <w:t>ii</w:t>
      </w:r>
      <w:proofErr w:type="spellEnd"/>
      <w:r w:rsidRPr="00CA15D5">
        <w:rPr>
          <w:szCs w:val="24"/>
          <w:lang w:val="es-ES"/>
        </w:rPr>
        <w:t>) la colaboración horizontal entre la Filial Italiana y los subdistribuidores. Esto permitiría mitigar el impacto del cambio del modelo de distribución.</w:t>
      </w:r>
    </w:p>
    <w:p w14:paraId="049CC81F" w14:textId="77777777" w:rsidR="00B87DA8" w:rsidRPr="00CA15D5" w:rsidRDefault="00B87DA8" w:rsidP="00CA15D5">
      <w:pPr>
        <w:spacing w:after="160"/>
        <w:ind w:left="720"/>
        <w:contextualSpacing/>
        <w:jc w:val="both"/>
        <w:rPr>
          <w:szCs w:val="24"/>
          <w:lang w:val="es-ES"/>
        </w:rPr>
      </w:pPr>
    </w:p>
    <w:p w14:paraId="0DB5FE0B" w14:textId="77777777" w:rsidR="00B87DA8" w:rsidRPr="00CA15D5" w:rsidRDefault="00B87DA8" w:rsidP="00CA15D5">
      <w:pPr>
        <w:spacing w:after="160"/>
        <w:contextualSpacing/>
        <w:jc w:val="both"/>
        <w:rPr>
          <w:szCs w:val="24"/>
          <w:lang w:val="es-ES"/>
        </w:rPr>
      </w:pPr>
      <w:r w:rsidRPr="00CA15D5">
        <w:rPr>
          <w:szCs w:val="24"/>
          <w:lang w:val="es-ES"/>
        </w:rPr>
        <w:t>La prestación simultanea de servicios en libre prestación de servicios y derecho de establecimiento se mantendrá mientras las sucursales son dotadas de los medios personales y materiales necesarios para el adecuado desarrollo de la actividad, con el fin de asegurar la continuidad del negocio, evitar perjuicios a los tomadores y garantizar una transición ordenada hacia el régimen de derecho de establecimiento.</w:t>
      </w:r>
    </w:p>
    <w:p w14:paraId="19DFA8FE" w14:textId="77777777" w:rsidR="00B87DA8" w:rsidRPr="00CA15D5" w:rsidRDefault="00B87DA8" w:rsidP="00CA15D5">
      <w:pPr>
        <w:spacing w:after="160"/>
        <w:ind w:left="720"/>
        <w:contextualSpacing/>
        <w:jc w:val="both"/>
        <w:rPr>
          <w:szCs w:val="24"/>
          <w:lang w:val="es-ES"/>
        </w:rPr>
      </w:pPr>
    </w:p>
    <w:p w14:paraId="3462C635" w14:textId="77777777" w:rsidR="00B87DA8" w:rsidRPr="00CA15D5" w:rsidRDefault="00B87DA8" w:rsidP="00CA15D5">
      <w:pPr>
        <w:spacing w:after="160"/>
        <w:contextualSpacing/>
        <w:jc w:val="both"/>
        <w:rPr>
          <w:szCs w:val="24"/>
          <w:lang w:val="es-ES"/>
        </w:rPr>
      </w:pPr>
      <w:r w:rsidRPr="00CA15D5">
        <w:rPr>
          <w:szCs w:val="24"/>
          <w:lang w:val="es-ES"/>
        </w:rPr>
        <w:t xml:space="preserve">A tales efectos, las referidas nuevas sucursales recibirán como fondo dotacional los activos y pasivos que hasta la fecha venían estando afectos a la Sucursal en Francia y la Sucursal en Italia de la Sociedad Absorbida, reservándose, en su caso, respecto de la actividad de comercialización en Italia, aquellas actividades que hayan sido o serán intermediadas utilizando la estructura de la Filial Italiana. </w:t>
      </w:r>
    </w:p>
    <w:p w14:paraId="4C5A9FFE" w14:textId="77777777" w:rsidR="00B87DA8" w:rsidRPr="00CA15D5" w:rsidRDefault="00B87DA8" w:rsidP="00CA15D5">
      <w:pPr>
        <w:spacing w:after="160"/>
        <w:ind w:left="720"/>
        <w:contextualSpacing/>
        <w:jc w:val="both"/>
        <w:rPr>
          <w:szCs w:val="24"/>
          <w:lang w:val="es-ES"/>
        </w:rPr>
      </w:pPr>
    </w:p>
    <w:p w14:paraId="4BB8AAB7" w14:textId="77777777" w:rsidR="00B87DA8" w:rsidRDefault="00B87DA8" w:rsidP="00B87DA8">
      <w:pPr>
        <w:spacing w:after="160"/>
        <w:contextualSpacing/>
        <w:jc w:val="both"/>
        <w:rPr>
          <w:szCs w:val="24"/>
          <w:lang w:val="es-ES"/>
        </w:rPr>
      </w:pPr>
      <w:r w:rsidRPr="00CA15D5">
        <w:rPr>
          <w:szCs w:val="24"/>
          <w:lang w:val="es-ES"/>
        </w:rPr>
        <w:t xml:space="preserve">Se adjunta como </w:t>
      </w:r>
      <w:r w:rsidRPr="00CA15D5">
        <w:rPr>
          <w:b/>
          <w:bCs/>
          <w:szCs w:val="24"/>
          <w:u w:val="single"/>
          <w:lang w:val="es-ES"/>
        </w:rPr>
        <w:t>Anexo IV</w:t>
      </w:r>
      <w:r w:rsidRPr="00CA15D5">
        <w:rPr>
          <w:szCs w:val="24"/>
          <w:lang w:val="es-ES"/>
        </w:rPr>
        <w:t xml:space="preserve"> documento explicativo de la integración operativa de la actividad de distribución de AIS en AECS con motivo de la Fusión.</w:t>
      </w:r>
    </w:p>
    <w:p w14:paraId="702F4257" w14:textId="77777777" w:rsidR="00B87DA8" w:rsidRDefault="00B87DA8" w:rsidP="00B87DA8">
      <w:pPr>
        <w:spacing w:after="160"/>
        <w:contextualSpacing/>
        <w:jc w:val="both"/>
        <w:rPr>
          <w:szCs w:val="24"/>
          <w:lang w:val="es-ES"/>
        </w:rPr>
      </w:pPr>
    </w:p>
    <w:p w14:paraId="45F15995" w14:textId="77777777" w:rsidR="00B87DA8" w:rsidRPr="00CA15D5" w:rsidRDefault="00B87DA8" w:rsidP="00CA15D5">
      <w:pPr>
        <w:spacing w:after="160"/>
        <w:contextualSpacing/>
        <w:jc w:val="both"/>
        <w:rPr>
          <w:szCs w:val="24"/>
          <w:lang w:val="es-ES"/>
        </w:rPr>
      </w:pPr>
    </w:p>
    <w:p w14:paraId="067A0759" w14:textId="77777777" w:rsidR="00B87DA8" w:rsidRPr="00CA15D5" w:rsidRDefault="00B87DA8" w:rsidP="00CA15D5">
      <w:pPr>
        <w:spacing w:after="160"/>
        <w:ind w:left="720"/>
        <w:contextualSpacing/>
        <w:jc w:val="both"/>
        <w:rPr>
          <w:szCs w:val="24"/>
          <w:lang w:val="es-ES"/>
        </w:rPr>
      </w:pPr>
    </w:p>
    <w:p w14:paraId="1278A525" w14:textId="77777777" w:rsidR="00B87DA8" w:rsidRPr="00CA15D5" w:rsidRDefault="00B87DA8" w:rsidP="00CA15D5">
      <w:pPr>
        <w:numPr>
          <w:ilvl w:val="0"/>
          <w:numId w:val="19"/>
        </w:numPr>
        <w:spacing w:after="160"/>
        <w:ind w:hanging="720"/>
        <w:contextualSpacing/>
        <w:jc w:val="both"/>
        <w:rPr>
          <w:b/>
          <w:bCs/>
          <w:szCs w:val="24"/>
          <w:lang w:val="es-ES"/>
        </w:rPr>
      </w:pPr>
      <w:r w:rsidRPr="00CA15D5">
        <w:rPr>
          <w:b/>
          <w:bCs/>
          <w:szCs w:val="24"/>
          <w:lang w:val="es-ES"/>
        </w:rPr>
        <w:lastRenderedPageBreak/>
        <w:t>RÉGIMEN FISCAL DE LA FUSIÓN</w:t>
      </w:r>
    </w:p>
    <w:p w14:paraId="39643EAE" w14:textId="77777777" w:rsidR="00B87DA8" w:rsidRPr="00CA15D5" w:rsidRDefault="00B87DA8" w:rsidP="00CA15D5">
      <w:pPr>
        <w:spacing w:after="160"/>
        <w:ind w:left="720"/>
        <w:contextualSpacing/>
        <w:jc w:val="both"/>
        <w:rPr>
          <w:b/>
          <w:bCs/>
          <w:szCs w:val="24"/>
          <w:lang w:val="es-ES"/>
        </w:rPr>
      </w:pPr>
    </w:p>
    <w:p w14:paraId="55C56291" w14:textId="77777777" w:rsidR="00B87DA8" w:rsidRPr="00CA15D5" w:rsidRDefault="00B87DA8" w:rsidP="00CA15D5">
      <w:pPr>
        <w:spacing w:after="160"/>
        <w:contextualSpacing/>
        <w:jc w:val="both"/>
        <w:rPr>
          <w:szCs w:val="24"/>
          <w:lang w:val="es-ES"/>
        </w:rPr>
      </w:pPr>
      <w:r w:rsidRPr="00CA15D5">
        <w:rPr>
          <w:szCs w:val="24"/>
          <w:lang w:val="es-ES"/>
        </w:rPr>
        <w:t xml:space="preserve">La Fusión proyectada se acogerá al régimen tributario especial de fusiones, escisiones, aportaciones de activos, canje de valores y cambio de domicilio social, previsto en el Capítulo VII del Título VII de la Ley 27/2014, de 27 de noviembre, del Impuesto sobre Sociedades y a tal efecto, de conformidad con lo dispuesto en el artículo 89 de la citada Ley se efectuarán cuantas comunicaciones y trámites sean necesarios ante las autoridades competentes en la forma y plazos oportunos. </w:t>
      </w:r>
    </w:p>
    <w:p w14:paraId="106327D9" w14:textId="77777777" w:rsidR="00B87DA8" w:rsidRPr="00CA15D5" w:rsidRDefault="00B87DA8" w:rsidP="00CA15D5">
      <w:pPr>
        <w:spacing w:after="160"/>
        <w:ind w:left="720"/>
        <w:contextualSpacing/>
        <w:jc w:val="both"/>
        <w:rPr>
          <w:szCs w:val="24"/>
          <w:lang w:val="es-ES"/>
        </w:rPr>
      </w:pPr>
    </w:p>
    <w:p w14:paraId="46FC7B23" w14:textId="77777777" w:rsidR="00B87DA8" w:rsidRPr="00CA15D5" w:rsidRDefault="00B87DA8" w:rsidP="00CA15D5">
      <w:pPr>
        <w:numPr>
          <w:ilvl w:val="0"/>
          <w:numId w:val="19"/>
        </w:numPr>
        <w:spacing w:after="160"/>
        <w:ind w:hanging="720"/>
        <w:contextualSpacing/>
        <w:jc w:val="both"/>
        <w:rPr>
          <w:b/>
          <w:bCs/>
          <w:szCs w:val="24"/>
          <w:lang w:val="es-ES"/>
        </w:rPr>
      </w:pPr>
      <w:r w:rsidRPr="00CA15D5">
        <w:rPr>
          <w:b/>
          <w:bCs/>
          <w:szCs w:val="24"/>
          <w:lang w:val="es-ES"/>
        </w:rPr>
        <w:t>CONDICIÓN SUSPENSIVA DE LA FUSIÓN</w:t>
      </w:r>
    </w:p>
    <w:p w14:paraId="5F0CB63E" w14:textId="77777777" w:rsidR="00B87DA8" w:rsidRPr="00CA15D5" w:rsidRDefault="00B87DA8" w:rsidP="00CA15D5">
      <w:pPr>
        <w:spacing w:after="160"/>
        <w:ind w:left="720"/>
        <w:contextualSpacing/>
        <w:jc w:val="both"/>
        <w:rPr>
          <w:szCs w:val="24"/>
          <w:lang w:val="es-ES"/>
        </w:rPr>
      </w:pPr>
    </w:p>
    <w:p w14:paraId="05B86223" w14:textId="77777777" w:rsidR="00B87DA8" w:rsidRPr="00CA15D5" w:rsidRDefault="00B87DA8" w:rsidP="00CA15D5">
      <w:pPr>
        <w:spacing w:after="160"/>
        <w:contextualSpacing/>
        <w:jc w:val="both"/>
        <w:rPr>
          <w:szCs w:val="24"/>
          <w:lang w:val="es-ES"/>
        </w:rPr>
      </w:pPr>
      <w:r w:rsidRPr="00CA15D5">
        <w:rPr>
          <w:szCs w:val="24"/>
          <w:lang w:val="es-ES"/>
        </w:rPr>
        <w:t>En cumplimiento del artículo 110.1.b) ROSSEAR se hace constar que la eficacia de la Fusión está sujeta y condicionada a la obtención de la pertinente autorización del Ministerio de Economía, Comercio y Empresa de conformidad con lo establecido en el artículo 91 LOSSEAR (en adelante, la “</w:t>
      </w:r>
      <w:r w:rsidRPr="00CA15D5">
        <w:rPr>
          <w:b/>
          <w:bCs/>
          <w:szCs w:val="24"/>
          <w:lang w:val="es-ES"/>
        </w:rPr>
        <w:t>Condición Suspensiva</w:t>
      </w:r>
      <w:r w:rsidRPr="00CA15D5">
        <w:rPr>
          <w:szCs w:val="24"/>
          <w:lang w:val="es-ES"/>
        </w:rPr>
        <w:t xml:space="preserve">”). </w:t>
      </w:r>
    </w:p>
    <w:p w14:paraId="0D9984A0" w14:textId="77777777" w:rsidR="00B87DA8" w:rsidRPr="00CA15D5" w:rsidRDefault="00B87DA8" w:rsidP="00CA15D5">
      <w:pPr>
        <w:spacing w:after="160"/>
        <w:ind w:left="720"/>
        <w:contextualSpacing/>
        <w:jc w:val="both"/>
        <w:rPr>
          <w:szCs w:val="24"/>
          <w:lang w:val="es-ES"/>
        </w:rPr>
      </w:pPr>
    </w:p>
    <w:p w14:paraId="5581B289" w14:textId="77777777" w:rsidR="00B87DA8" w:rsidRPr="00CA15D5" w:rsidRDefault="00B87DA8" w:rsidP="00CA15D5">
      <w:pPr>
        <w:spacing w:after="160"/>
        <w:contextualSpacing/>
        <w:jc w:val="both"/>
        <w:rPr>
          <w:szCs w:val="24"/>
          <w:lang w:val="es-ES"/>
        </w:rPr>
      </w:pPr>
      <w:r w:rsidRPr="00CA15D5">
        <w:rPr>
          <w:szCs w:val="24"/>
          <w:lang w:val="es-ES"/>
        </w:rPr>
        <w:t>A estos efectos, una vez aprobado el presente Proyecto de Fusión, se procederá a tramitar la solicitud de autorización de la Fusión ante la DGSFP, acompañando la información y documentación exigidas por el artículo 110 del ROSSEAR. En caso de que la DGSFP deniegue la autorización solicitada, los acuerdos adoptados por los órganos de administración de las Sociedades Participantes en relación con la Fusión quedarán sin efecto.</w:t>
      </w:r>
    </w:p>
    <w:p w14:paraId="6BAB0563" w14:textId="77777777" w:rsidR="00B87DA8" w:rsidRPr="00CA15D5" w:rsidRDefault="00B87DA8" w:rsidP="00CA15D5">
      <w:pPr>
        <w:spacing w:after="160"/>
        <w:ind w:left="720"/>
        <w:contextualSpacing/>
        <w:jc w:val="both"/>
        <w:rPr>
          <w:szCs w:val="24"/>
          <w:lang w:val="es-ES"/>
        </w:rPr>
      </w:pPr>
    </w:p>
    <w:p w14:paraId="1AFA9C15" w14:textId="77777777" w:rsidR="00B87DA8" w:rsidRPr="00CA15D5" w:rsidRDefault="00B87DA8" w:rsidP="00CA15D5">
      <w:pPr>
        <w:spacing w:after="160"/>
        <w:contextualSpacing/>
        <w:jc w:val="both"/>
        <w:rPr>
          <w:szCs w:val="24"/>
          <w:lang w:val="es-ES"/>
        </w:rPr>
      </w:pPr>
      <w:r w:rsidRPr="00CA15D5">
        <w:rPr>
          <w:szCs w:val="24"/>
          <w:lang w:val="es-ES"/>
        </w:rPr>
        <w:t>Los consejos de administración de las Sociedades Participantes o, en su caso, las personas en que estos deleguen podrán realizar todos los actos y adoptar todas las decisiones necesarias para solicitar, llevar a cabo las referidas operaciones y tramitar y obtener las referidas autorizaciones o cualesquiera otros consentimientos, declaraciones o dispensas necesarios o convenientes para el buen fin de la Fusión, así como confirmar el cumplimiento de la referida Condición Suspensiva.</w:t>
      </w:r>
    </w:p>
    <w:p w14:paraId="1B428183" w14:textId="77777777" w:rsidR="00B87DA8" w:rsidRPr="00CA15D5" w:rsidRDefault="00B87DA8" w:rsidP="00CA15D5">
      <w:pPr>
        <w:spacing w:after="160"/>
        <w:ind w:left="720"/>
        <w:contextualSpacing/>
        <w:jc w:val="both"/>
        <w:rPr>
          <w:szCs w:val="24"/>
          <w:lang w:val="es-ES"/>
        </w:rPr>
      </w:pPr>
    </w:p>
    <w:p w14:paraId="616F34B0" w14:textId="77777777" w:rsidR="00B87DA8" w:rsidRPr="00CA15D5" w:rsidRDefault="00B87DA8" w:rsidP="00CA15D5">
      <w:pPr>
        <w:spacing w:after="160"/>
        <w:contextualSpacing/>
        <w:jc w:val="both"/>
        <w:rPr>
          <w:szCs w:val="24"/>
          <w:lang w:val="es-ES"/>
        </w:rPr>
      </w:pPr>
      <w:r w:rsidRPr="00CA15D5">
        <w:rPr>
          <w:szCs w:val="24"/>
          <w:lang w:val="es-ES"/>
        </w:rPr>
        <w:t xml:space="preserve">Cumplida la Condición Suspensiva, se otorgará la correspondiente escritura de elevación a público de los acuerdos sociales para la formalización de la Fusión, presentándose la misma seguidamente para su inscripción en los Registros Mercantiles competentes, de conformidad con lo establecido en el artículo 110.4 ROSSEAR. </w:t>
      </w:r>
    </w:p>
    <w:p w14:paraId="02452353" w14:textId="77777777" w:rsidR="00B87DA8" w:rsidRPr="00CA15D5" w:rsidRDefault="00B87DA8" w:rsidP="00CA15D5">
      <w:pPr>
        <w:spacing w:after="160"/>
        <w:ind w:left="720"/>
        <w:contextualSpacing/>
        <w:jc w:val="both"/>
        <w:rPr>
          <w:szCs w:val="24"/>
          <w:lang w:val="es-ES"/>
        </w:rPr>
      </w:pPr>
    </w:p>
    <w:p w14:paraId="3168E365" w14:textId="77777777" w:rsidR="00B87DA8" w:rsidRPr="00CA15D5" w:rsidRDefault="00B87DA8" w:rsidP="00CA15D5">
      <w:pPr>
        <w:numPr>
          <w:ilvl w:val="0"/>
          <w:numId w:val="19"/>
        </w:numPr>
        <w:spacing w:after="160"/>
        <w:ind w:hanging="720"/>
        <w:contextualSpacing/>
        <w:jc w:val="both"/>
        <w:rPr>
          <w:b/>
          <w:bCs/>
          <w:szCs w:val="24"/>
          <w:lang w:val="es-ES"/>
        </w:rPr>
      </w:pPr>
      <w:r w:rsidRPr="00CA15D5">
        <w:rPr>
          <w:b/>
          <w:bCs/>
          <w:szCs w:val="24"/>
          <w:lang w:val="es-ES"/>
        </w:rPr>
        <w:t>COMUNICACIÓN A LA ADMINISTRACIÓN TRIBUTARIA</w:t>
      </w:r>
    </w:p>
    <w:p w14:paraId="1FE87509" w14:textId="77777777" w:rsidR="00B87DA8" w:rsidRPr="00CA15D5" w:rsidRDefault="00B87DA8" w:rsidP="00CA15D5">
      <w:pPr>
        <w:spacing w:after="160"/>
        <w:ind w:left="720"/>
        <w:contextualSpacing/>
        <w:jc w:val="both"/>
        <w:rPr>
          <w:b/>
          <w:bCs/>
          <w:szCs w:val="24"/>
          <w:lang w:val="es-ES"/>
        </w:rPr>
      </w:pPr>
    </w:p>
    <w:p w14:paraId="33DE8E7F" w14:textId="77777777" w:rsidR="00B87DA8" w:rsidRPr="00CA15D5" w:rsidRDefault="00B87DA8" w:rsidP="00CA15D5">
      <w:pPr>
        <w:spacing w:after="160"/>
        <w:contextualSpacing/>
        <w:jc w:val="both"/>
        <w:rPr>
          <w:szCs w:val="24"/>
          <w:lang w:val="es-ES"/>
        </w:rPr>
      </w:pPr>
      <w:r w:rsidRPr="00CA15D5">
        <w:rPr>
          <w:szCs w:val="24"/>
          <w:lang w:val="es-ES"/>
        </w:rPr>
        <w:t>La operación de Fusión será comunicada a la Administración Tributaria dentro de los tres (3) meses siguientes a la fecha de inscripción registral, en los términos previstos en el artículo 89 de la Ley 27/2014, de 27 de noviembre, del Impuesto sobre Sociedades y en la regulación aplicable contenida en el Reglamento del Impuesto sobre Sociedades, aprobado por Real Decreto 634/2015, de 10 de julio.</w:t>
      </w:r>
    </w:p>
    <w:p w14:paraId="7C0D68C3" w14:textId="77777777" w:rsidR="00B87DA8" w:rsidRPr="00CA15D5" w:rsidRDefault="00B87DA8" w:rsidP="00CA15D5">
      <w:pPr>
        <w:spacing w:after="160"/>
        <w:ind w:left="720"/>
        <w:contextualSpacing/>
        <w:jc w:val="both"/>
        <w:rPr>
          <w:szCs w:val="24"/>
          <w:lang w:val="es-ES"/>
        </w:rPr>
      </w:pPr>
    </w:p>
    <w:p w14:paraId="2978FDBF" w14:textId="77777777" w:rsidR="00B87DA8" w:rsidRPr="00CA15D5" w:rsidRDefault="00B87DA8" w:rsidP="00CA15D5">
      <w:pPr>
        <w:numPr>
          <w:ilvl w:val="0"/>
          <w:numId w:val="19"/>
        </w:numPr>
        <w:spacing w:after="160"/>
        <w:ind w:hanging="720"/>
        <w:contextualSpacing/>
        <w:jc w:val="both"/>
        <w:rPr>
          <w:b/>
          <w:bCs/>
          <w:szCs w:val="24"/>
          <w:lang w:val="es-ES"/>
        </w:rPr>
      </w:pPr>
      <w:r w:rsidRPr="00CA15D5">
        <w:rPr>
          <w:b/>
          <w:bCs/>
          <w:szCs w:val="24"/>
          <w:lang w:val="es-ES"/>
        </w:rPr>
        <w:lastRenderedPageBreak/>
        <w:t>MANIFESTACIÓN DE LOS ADMINISTRADORES SOBRE LA INAPLICABILIDAD DEL ARTÍCULO 42 LME</w:t>
      </w:r>
    </w:p>
    <w:p w14:paraId="21AB5A6F" w14:textId="77777777" w:rsidR="00B87DA8" w:rsidRPr="00CA15D5" w:rsidRDefault="00B87DA8" w:rsidP="00CA15D5">
      <w:pPr>
        <w:spacing w:after="160"/>
        <w:ind w:left="720"/>
        <w:contextualSpacing/>
        <w:jc w:val="both"/>
        <w:rPr>
          <w:b/>
          <w:bCs/>
          <w:szCs w:val="24"/>
          <w:lang w:val="es-ES"/>
        </w:rPr>
      </w:pPr>
    </w:p>
    <w:p w14:paraId="45B92A31" w14:textId="77777777" w:rsidR="00B87DA8" w:rsidRPr="00CA15D5" w:rsidRDefault="00B87DA8" w:rsidP="00CA15D5">
      <w:pPr>
        <w:spacing w:after="160"/>
        <w:contextualSpacing/>
        <w:jc w:val="both"/>
        <w:rPr>
          <w:szCs w:val="24"/>
          <w:lang w:val="es-ES"/>
        </w:rPr>
      </w:pPr>
      <w:r w:rsidRPr="00CA15D5">
        <w:rPr>
          <w:szCs w:val="24"/>
          <w:lang w:val="es-ES"/>
        </w:rPr>
        <w:t>Los administradores que suscriben el presente Proyecto de Fusión manifiestan que ninguna de las Sociedades Participantes en la Fusión ha contraído deudas en los tres años anteriores a la suscripción del presente Proyecto de Fusión para adquirir el control o activos de las Sociedades Participantes esenciales para su normal explotación o de importancia por su valor patrimonial, por lo que no resulta de aplicación lo dispuesto en el artículo 42 de la LME.</w:t>
      </w:r>
    </w:p>
    <w:p w14:paraId="6B9479C8" w14:textId="77777777" w:rsidR="00B87DA8" w:rsidRPr="00CA15D5" w:rsidRDefault="00B87DA8" w:rsidP="00CA15D5">
      <w:pPr>
        <w:spacing w:after="160"/>
        <w:ind w:left="720"/>
        <w:contextualSpacing/>
        <w:jc w:val="both"/>
        <w:rPr>
          <w:szCs w:val="24"/>
          <w:lang w:val="es-ES"/>
        </w:rPr>
      </w:pPr>
    </w:p>
    <w:p w14:paraId="3A10E1A5" w14:textId="77777777" w:rsidR="00B87DA8" w:rsidRPr="00CA15D5" w:rsidRDefault="00B87DA8" w:rsidP="00CA15D5">
      <w:pPr>
        <w:numPr>
          <w:ilvl w:val="0"/>
          <w:numId w:val="19"/>
        </w:numPr>
        <w:spacing w:after="160"/>
        <w:ind w:hanging="720"/>
        <w:contextualSpacing/>
        <w:jc w:val="both"/>
        <w:rPr>
          <w:b/>
          <w:bCs/>
          <w:szCs w:val="24"/>
          <w:lang w:val="es-ES"/>
        </w:rPr>
      </w:pPr>
      <w:r w:rsidRPr="00CA15D5">
        <w:rPr>
          <w:b/>
          <w:bCs/>
          <w:szCs w:val="24"/>
          <w:lang w:val="es-ES"/>
        </w:rPr>
        <w:t>CUMPLIMIENTO DE LAS OBLIGACIONES DE PUBLICIDAD E INFORMACIÓN</w:t>
      </w:r>
    </w:p>
    <w:p w14:paraId="34AD57AD" w14:textId="77777777" w:rsidR="00B87DA8" w:rsidRPr="00CA15D5" w:rsidRDefault="00B87DA8" w:rsidP="00CA15D5">
      <w:pPr>
        <w:spacing w:after="160"/>
        <w:ind w:left="720"/>
        <w:contextualSpacing/>
        <w:jc w:val="both"/>
        <w:rPr>
          <w:b/>
          <w:bCs/>
          <w:szCs w:val="24"/>
          <w:lang w:val="es-ES"/>
        </w:rPr>
      </w:pPr>
    </w:p>
    <w:p w14:paraId="79094E6D" w14:textId="77777777" w:rsidR="00B87DA8" w:rsidRPr="00CA15D5" w:rsidRDefault="00B87DA8" w:rsidP="00CA15D5">
      <w:pPr>
        <w:spacing w:after="160"/>
        <w:contextualSpacing/>
        <w:jc w:val="both"/>
        <w:rPr>
          <w:szCs w:val="24"/>
          <w:lang w:val="es-ES"/>
        </w:rPr>
      </w:pPr>
      <w:r w:rsidRPr="00CA15D5">
        <w:rPr>
          <w:szCs w:val="24"/>
          <w:lang w:val="es-ES"/>
        </w:rPr>
        <w:t>En cumplimiento con el contenido del artículo 55.1 LME, con un mes de antelación como mínimo a la fecha prevista de formalización de la Fusión, esto es, a  la elevación a público de los acuerdos sociales correspondientes, el Proyecto de Fusión será insertado en la página web corporativa de cada una de las Sociedades Participantes en la Fusión (</w:t>
      </w:r>
      <w:hyperlink r:id="rId7" w:history="1">
        <w:r w:rsidRPr="00CA15D5">
          <w:rPr>
            <w:color w:val="0563C1"/>
            <w:szCs w:val="24"/>
            <w:u w:val="single"/>
            <w:lang w:val="es-ES"/>
          </w:rPr>
          <w:t>www.admiralseguros.es</w:t>
        </w:r>
      </w:hyperlink>
      <w:r w:rsidRPr="00CA15D5">
        <w:rPr>
          <w:szCs w:val="24"/>
          <w:lang w:val="es-ES"/>
        </w:rPr>
        <w:t xml:space="preserve"> para AIS, y </w:t>
      </w:r>
      <w:hyperlink r:id="rId8" w:history="1">
        <w:r w:rsidRPr="00CA15D5">
          <w:rPr>
            <w:color w:val="0563C1"/>
            <w:szCs w:val="24"/>
            <w:u w:val="single"/>
            <w:lang w:val="es-ES"/>
          </w:rPr>
          <w:t>www.admiraleurope.com</w:t>
        </w:r>
      </w:hyperlink>
      <w:r w:rsidRPr="00CA15D5">
        <w:rPr>
          <w:szCs w:val="24"/>
          <w:lang w:val="es-ES"/>
        </w:rPr>
        <w:t xml:space="preserve"> para AECS, respectivamente). </w:t>
      </w:r>
    </w:p>
    <w:p w14:paraId="7512AFD8" w14:textId="77777777" w:rsidR="00B87DA8" w:rsidRPr="00CA15D5" w:rsidRDefault="00B87DA8" w:rsidP="00CA15D5">
      <w:pPr>
        <w:spacing w:after="160"/>
        <w:ind w:left="720"/>
        <w:contextualSpacing/>
        <w:jc w:val="both"/>
        <w:rPr>
          <w:szCs w:val="24"/>
          <w:lang w:val="es-ES"/>
        </w:rPr>
      </w:pPr>
    </w:p>
    <w:p w14:paraId="68F0E23C" w14:textId="77777777" w:rsidR="00B87DA8" w:rsidRPr="00CA15D5" w:rsidRDefault="00B87DA8" w:rsidP="00CA15D5">
      <w:pPr>
        <w:spacing w:after="160"/>
        <w:contextualSpacing/>
        <w:jc w:val="both"/>
        <w:rPr>
          <w:szCs w:val="24"/>
          <w:lang w:val="es-ES"/>
        </w:rPr>
      </w:pPr>
      <w:r w:rsidRPr="00CA15D5">
        <w:rPr>
          <w:szCs w:val="24"/>
          <w:lang w:val="es-ES"/>
        </w:rPr>
        <w:t>El hecho de la inserción del Proyecto de Fusión en las páginas webs de AIS y AECS, se publicará en el Boletín Oficial del Registro Mercantil, con expresión de las páginas webs de las Sociedades Participantes en la Fusión y de la fecha de su inserción.</w:t>
      </w:r>
    </w:p>
    <w:p w14:paraId="7C23FFDE" w14:textId="77777777" w:rsidR="00B87DA8" w:rsidRPr="00CA15D5" w:rsidRDefault="00B87DA8" w:rsidP="00CA15D5">
      <w:pPr>
        <w:spacing w:after="160"/>
        <w:ind w:left="720"/>
        <w:contextualSpacing/>
        <w:jc w:val="both"/>
        <w:rPr>
          <w:szCs w:val="24"/>
          <w:lang w:val="es-ES"/>
        </w:rPr>
      </w:pPr>
    </w:p>
    <w:p w14:paraId="0C1BF351" w14:textId="77777777" w:rsidR="00B87DA8" w:rsidRPr="00CA15D5" w:rsidRDefault="00B87DA8" w:rsidP="00CA15D5">
      <w:pPr>
        <w:spacing w:after="160"/>
        <w:contextualSpacing/>
        <w:jc w:val="both"/>
        <w:rPr>
          <w:szCs w:val="24"/>
          <w:lang w:val="es-ES"/>
        </w:rPr>
      </w:pPr>
      <w:r w:rsidRPr="00CA15D5">
        <w:rPr>
          <w:szCs w:val="24"/>
          <w:lang w:val="es-ES"/>
        </w:rPr>
        <w:t xml:space="preserve">Junto con el Proyecto de Fusión, ambas sociedades incluirán en sus páginas web corporativas, con posibilidad de ser descargados o impresos, los siguientes documentos: </w:t>
      </w:r>
    </w:p>
    <w:p w14:paraId="27523415" w14:textId="77777777" w:rsidR="00B87DA8" w:rsidRPr="00CA15D5" w:rsidRDefault="00B87DA8" w:rsidP="00CA15D5">
      <w:pPr>
        <w:spacing w:after="160"/>
        <w:ind w:left="720"/>
        <w:contextualSpacing/>
        <w:jc w:val="both"/>
        <w:rPr>
          <w:szCs w:val="24"/>
          <w:lang w:val="es-ES"/>
        </w:rPr>
      </w:pPr>
    </w:p>
    <w:p w14:paraId="17A4D250" w14:textId="77777777" w:rsidR="00B87DA8" w:rsidRPr="00CA15D5" w:rsidRDefault="00B87DA8" w:rsidP="00CA15D5">
      <w:pPr>
        <w:numPr>
          <w:ilvl w:val="4"/>
          <w:numId w:val="20"/>
        </w:numPr>
        <w:spacing w:after="160"/>
        <w:ind w:left="1418" w:hanging="218"/>
        <w:contextualSpacing/>
        <w:jc w:val="both"/>
        <w:rPr>
          <w:szCs w:val="24"/>
          <w:lang w:val="es-ES"/>
        </w:rPr>
      </w:pPr>
      <w:r w:rsidRPr="00CA15D5">
        <w:rPr>
          <w:szCs w:val="24"/>
          <w:lang w:val="es-ES"/>
        </w:rPr>
        <w:t>Las cuentas anuales, los informes de gestión y de auditoría de cuentas de las Sociedades Participantes en la Fusión, de los últimos tres ejercicios.</w:t>
      </w:r>
    </w:p>
    <w:p w14:paraId="292501E2" w14:textId="77777777" w:rsidR="00B87DA8" w:rsidRPr="00CA15D5" w:rsidRDefault="00B87DA8" w:rsidP="00CA15D5">
      <w:pPr>
        <w:numPr>
          <w:ilvl w:val="4"/>
          <w:numId w:val="20"/>
        </w:numPr>
        <w:spacing w:after="160"/>
        <w:ind w:left="1418" w:hanging="218"/>
        <w:contextualSpacing/>
        <w:jc w:val="both"/>
        <w:rPr>
          <w:szCs w:val="24"/>
          <w:lang w:val="es-ES"/>
        </w:rPr>
      </w:pPr>
      <w:r w:rsidRPr="00CA15D5">
        <w:rPr>
          <w:szCs w:val="24"/>
          <w:lang w:val="es-ES"/>
        </w:rPr>
        <w:t>El Informe de Administradores, en su sección destinada a trabajadores.</w:t>
      </w:r>
    </w:p>
    <w:p w14:paraId="0BC60522" w14:textId="77777777" w:rsidR="00B87DA8" w:rsidRPr="00CA15D5" w:rsidRDefault="00B87DA8" w:rsidP="00CA15D5">
      <w:pPr>
        <w:numPr>
          <w:ilvl w:val="4"/>
          <w:numId w:val="20"/>
        </w:numPr>
        <w:spacing w:after="160"/>
        <w:ind w:left="1418" w:hanging="218"/>
        <w:contextualSpacing/>
        <w:jc w:val="both"/>
        <w:rPr>
          <w:szCs w:val="24"/>
          <w:lang w:val="es-ES"/>
        </w:rPr>
      </w:pPr>
      <w:r w:rsidRPr="00CA15D5">
        <w:rPr>
          <w:szCs w:val="24"/>
          <w:lang w:val="es-ES"/>
        </w:rPr>
        <w:t>Los Balances de Fusión de cada una de las Sociedades Participantes en la Fusión verificados por el auditor de cuentas.</w:t>
      </w:r>
    </w:p>
    <w:p w14:paraId="46BFAE83" w14:textId="77777777" w:rsidR="00B87DA8" w:rsidRPr="00CA15D5" w:rsidRDefault="00B87DA8" w:rsidP="00CA15D5">
      <w:pPr>
        <w:numPr>
          <w:ilvl w:val="4"/>
          <w:numId w:val="20"/>
        </w:numPr>
        <w:spacing w:after="160"/>
        <w:ind w:left="1418" w:hanging="218"/>
        <w:contextualSpacing/>
        <w:jc w:val="both"/>
        <w:rPr>
          <w:szCs w:val="24"/>
          <w:lang w:val="es-ES"/>
        </w:rPr>
      </w:pPr>
      <w:r w:rsidRPr="00CA15D5">
        <w:rPr>
          <w:szCs w:val="24"/>
          <w:lang w:val="es-ES"/>
        </w:rPr>
        <w:t>Un anuncio en donde se incluya el Proyecto de Fusión y el derecho que corresponde al accionista único, a los representantes de los trabajadores y a los acreedores de las Sociedades a examinar en el domicilio social de las Sociedades Participantes en la Fusión el Proyecto de Fusión, y los documentos mencionados en los puntos (i) a (</w:t>
      </w:r>
      <w:proofErr w:type="spellStart"/>
      <w:r w:rsidRPr="00CA15D5">
        <w:rPr>
          <w:szCs w:val="24"/>
          <w:lang w:val="es-ES"/>
        </w:rPr>
        <w:t>iii</w:t>
      </w:r>
      <w:proofErr w:type="spellEnd"/>
      <w:r w:rsidRPr="00CA15D5">
        <w:rPr>
          <w:szCs w:val="24"/>
          <w:lang w:val="es-ES"/>
        </w:rPr>
        <w:t>) anteriores.</w:t>
      </w:r>
    </w:p>
    <w:p w14:paraId="4296A42B" w14:textId="77777777" w:rsidR="00B87DA8" w:rsidRPr="00CA15D5" w:rsidRDefault="00B87DA8" w:rsidP="00CA15D5">
      <w:pPr>
        <w:spacing w:after="160"/>
        <w:ind w:left="720"/>
        <w:contextualSpacing/>
        <w:jc w:val="both"/>
        <w:rPr>
          <w:szCs w:val="24"/>
          <w:lang w:val="es-ES"/>
        </w:rPr>
      </w:pPr>
    </w:p>
    <w:p w14:paraId="2824D186" w14:textId="77777777" w:rsidR="00B87DA8" w:rsidRPr="00CA15D5" w:rsidRDefault="00B87DA8" w:rsidP="00CA15D5">
      <w:pPr>
        <w:spacing w:after="160"/>
        <w:contextualSpacing/>
        <w:jc w:val="both"/>
        <w:rPr>
          <w:szCs w:val="24"/>
          <w:lang w:val="es-ES"/>
        </w:rPr>
      </w:pPr>
      <w:r w:rsidRPr="00CA15D5">
        <w:rPr>
          <w:szCs w:val="24"/>
          <w:lang w:val="es-ES"/>
        </w:rPr>
        <w:t xml:space="preserve">Además, de conformidad con lo dispuesto en el artículo 7.1.2º LME, el anuncio referido anteriormente incluirá el derecho que corresponde a los socios, acreedores y representantes de los trabajadores o, cuando tales representantes no existan, a los propios trabajadores, a presentar a las Sociedades Participantes observaciones relativas al Proyecto de Fusión. </w:t>
      </w:r>
    </w:p>
    <w:p w14:paraId="2786DB98" w14:textId="77777777" w:rsidR="00B87DA8" w:rsidRPr="00CA15D5" w:rsidRDefault="00B87DA8" w:rsidP="00CA15D5">
      <w:pPr>
        <w:spacing w:after="160"/>
        <w:ind w:left="720"/>
        <w:contextualSpacing/>
        <w:jc w:val="both"/>
        <w:rPr>
          <w:szCs w:val="24"/>
          <w:lang w:val="es-ES"/>
        </w:rPr>
      </w:pPr>
    </w:p>
    <w:p w14:paraId="7BA32EDB" w14:textId="77777777" w:rsidR="00B87DA8" w:rsidRPr="00CA15D5" w:rsidRDefault="00B87DA8" w:rsidP="00CA15D5">
      <w:pPr>
        <w:spacing w:after="160"/>
        <w:contextualSpacing/>
        <w:jc w:val="both"/>
        <w:rPr>
          <w:szCs w:val="24"/>
          <w:lang w:val="es-ES"/>
        </w:rPr>
      </w:pPr>
      <w:r w:rsidRPr="00CA15D5">
        <w:rPr>
          <w:szCs w:val="24"/>
          <w:lang w:val="es-ES"/>
        </w:rPr>
        <w:lastRenderedPageBreak/>
        <w:t>Las Sociedades Participantes en la Fusión disponen cada una de ellas de una página web corporativa de conformidad con lo establecido en el artículo 11 bis del Real Decreto Legislativo 1/2010, de 2 de julio, por el que se aprueba el texto refundido de la Ley de Sociedades de Capital.</w:t>
      </w:r>
    </w:p>
    <w:p w14:paraId="3E498331" w14:textId="77777777" w:rsidR="00B87DA8" w:rsidRPr="00CA15D5" w:rsidRDefault="00B87DA8" w:rsidP="00CA15D5">
      <w:pPr>
        <w:spacing w:after="160"/>
        <w:ind w:left="720"/>
        <w:contextualSpacing/>
        <w:jc w:val="both"/>
        <w:rPr>
          <w:szCs w:val="24"/>
          <w:lang w:val="es-ES"/>
        </w:rPr>
      </w:pPr>
    </w:p>
    <w:p w14:paraId="253ABD8D" w14:textId="77777777" w:rsidR="00B87DA8" w:rsidRPr="00CA15D5" w:rsidRDefault="00B87DA8" w:rsidP="00CA15D5">
      <w:pPr>
        <w:spacing w:after="160"/>
        <w:contextualSpacing/>
        <w:jc w:val="both"/>
        <w:rPr>
          <w:szCs w:val="24"/>
          <w:lang w:val="es-ES"/>
        </w:rPr>
      </w:pPr>
      <w:r w:rsidRPr="00CA15D5">
        <w:rPr>
          <w:szCs w:val="24"/>
          <w:lang w:val="es-ES"/>
        </w:rPr>
        <w:t xml:space="preserve">Tal y como se ha indicado, la inserción del Proyecto y de los documentos anteriormente mencionados en las páginas web corporativas de las Sociedades Participantes, y la publicación que realizarán los Registros Mercantiles competentes mediante anuncio en el BORME se hará, al menos, con un mes de antelación a la fecha prevista a la formalización de la Fusión, esto es el otorgamiento de la escritura pública de Fusión. </w:t>
      </w:r>
    </w:p>
    <w:p w14:paraId="5986A064" w14:textId="77777777" w:rsidR="00B87DA8" w:rsidRPr="00CA15D5" w:rsidRDefault="00B87DA8" w:rsidP="00CA15D5">
      <w:pPr>
        <w:spacing w:after="160"/>
        <w:ind w:left="720"/>
        <w:contextualSpacing/>
        <w:jc w:val="both"/>
        <w:rPr>
          <w:szCs w:val="24"/>
          <w:lang w:val="es-ES"/>
        </w:rPr>
      </w:pPr>
    </w:p>
    <w:p w14:paraId="333439C7" w14:textId="32AA6F65" w:rsidR="00B87DA8" w:rsidRDefault="00B87DA8" w:rsidP="00B87DA8">
      <w:pPr>
        <w:pStyle w:val="GAPNormal"/>
        <w:spacing w:after="0"/>
        <w:rPr>
          <w:lang w:val="es-ES"/>
        </w:rPr>
      </w:pPr>
      <w:r>
        <w:rPr>
          <w:lang w:val="es-ES"/>
        </w:rPr>
        <w:t>En Madrid</w:t>
      </w:r>
      <w:r w:rsidRPr="009E790F">
        <w:rPr>
          <w:lang w:val="es-ES"/>
        </w:rPr>
        <w:t xml:space="preserve">, a </w:t>
      </w:r>
      <w:r w:rsidR="00A279D3">
        <w:rPr>
          <w:lang w:val="es-ES"/>
        </w:rPr>
        <w:t>19</w:t>
      </w:r>
      <w:r>
        <w:rPr>
          <w:lang w:val="es-ES"/>
        </w:rPr>
        <w:t xml:space="preserve"> de </w:t>
      </w:r>
      <w:r w:rsidR="00A279D3">
        <w:rPr>
          <w:lang w:val="es-ES"/>
        </w:rPr>
        <w:t>marzo</w:t>
      </w:r>
      <w:r>
        <w:rPr>
          <w:lang w:val="es-ES"/>
        </w:rPr>
        <w:t xml:space="preserve"> de 2026</w:t>
      </w:r>
      <w:r w:rsidRPr="004322F9">
        <w:rPr>
          <w:lang w:val="es-ES"/>
        </w:rPr>
        <w:t>.</w:t>
      </w:r>
    </w:p>
    <w:p w14:paraId="26111070" w14:textId="77777777" w:rsidR="00B87DA8" w:rsidRDefault="00B87DA8" w:rsidP="00B87DA8">
      <w:pPr>
        <w:rPr>
          <w:rFonts w:eastAsia="Times New Roman"/>
          <w:b/>
          <w:bCs/>
          <w:szCs w:val="24"/>
          <w:lang w:val="es-ES" w:eastAsia="es-ES"/>
        </w:rPr>
      </w:pPr>
    </w:p>
    <w:p w14:paraId="3B1ED3F9" w14:textId="1FAC0A3A" w:rsidR="00D4458F" w:rsidRDefault="00DA310F" w:rsidP="00B87DA8">
      <w:pPr>
        <w:rPr>
          <w:rFonts w:eastAsia="Times New Roman"/>
          <w:b/>
          <w:bCs/>
          <w:szCs w:val="24"/>
          <w:lang w:val="es-ES" w:eastAsia="es-ES"/>
        </w:rPr>
      </w:pPr>
      <w:r w:rsidRPr="00DA310F">
        <w:rPr>
          <w:rFonts w:eastAsia="Times New Roman"/>
          <w:b/>
          <w:bCs/>
          <w:szCs w:val="24"/>
          <w:lang w:val="es-ES" w:eastAsia="es-ES"/>
        </w:rPr>
        <w:t>Los consejeros de la Sociedad Absorbente</w:t>
      </w:r>
    </w:p>
    <w:p w14:paraId="0AA228EA" w14:textId="77777777" w:rsidR="00DA310F" w:rsidRDefault="00DA310F" w:rsidP="00B87DA8">
      <w:pPr>
        <w:rPr>
          <w:rFonts w:eastAsia="Times New Roman"/>
          <w:b/>
          <w:bCs/>
          <w:szCs w:val="24"/>
          <w:lang w:val="es-ES" w:eastAsia="es-ES"/>
        </w:rPr>
      </w:pPr>
    </w:p>
    <w:p w14:paraId="29BFF854" w14:textId="77777777" w:rsidR="00DA310F" w:rsidRDefault="00DA310F" w:rsidP="00B87DA8">
      <w:pPr>
        <w:rPr>
          <w:b/>
          <w:bCs/>
          <w:lang w:val="es-ES"/>
        </w:rPr>
      </w:pPr>
    </w:p>
    <w:p w14:paraId="7B763495" w14:textId="77777777" w:rsidR="00DA310F" w:rsidRPr="00DA310F" w:rsidRDefault="00DA310F" w:rsidP="00B87DA8">
      <w:pPr>
        <w:rPr>
          <w:b/>
          <w:bCs/>
          <w:lang w:val="es-ES"/>
        </w:rPr>
      </w:pPr>
    </w:p>
    <w:p w14:paraId="3FED0938" w14:textId="05A4ED74" w:rsidR="00DA310F" w:rsidRPr="00DA310F" w:rsidRDefault="00DA310F" w:rsidP="00B87DA8">
      <w:pPr>
        <w:rPr>
          <w:b/>
          <w:bCs/>
          <w:lang w:val="es-ES"/>
        </w:rPr>
      </w:pPr>
      <w:r w:rsidRPr="00DA310F">
        <w:rPr>
          <w:b/>
          <w:bCs/>
          <w:lang w:val="es-ES"/>
        </w:rPr>
        <w:t>D. Julián López Zaballos</w:t>
      </w:r>
    </w:p>
    <w:p w14:paraId="038780F0" w14:textId="77777777" w:rsidR="00DA310F" w:rsidRPr="00DA310F" w:rsidRDefault="00DA310F" w:rsidP="00B87DA8">
      <w:pPr>
        <w:rPr>
          <w:b/>
          <w:bCs/>
          <w:lang w:val="es-ES"/>
        </w:rPr>
      </w:pPr>
    </w:p>
    <w:p w14:paraId="006A37A1" w14:textId="77777777" w:rsidR="00DA310F" w:rsidRPr="00DA310F" w:rsidRDefault="00DA310F" w:rsidP="00B87DA8">
      <w:pPr>
        <w:rPr>
          <w:b/>
          <w:bCs/>
          <w:lang w:val="es-ES"/>
        </w:rPr>
      </w:pPr>
    </w:p>
    <w:p w14:paraId="04BB7026" w14:textId="77777777" w:rsidR="00DA310F" w:rsidRDefault="00DA310F" w:rsidP="00B87DA8">
      <w:pPr>
        <w:rPr>
          <w:b/>
          <w:bCs/>
          <w:lang w:val="es-ES"/>
        </w:rPr>
      </w:pPr>
    </w:p>
    <w:p w14:paraId="371B1D70" w14:textId="23363E81" w:rsidR="00DA310F" w:rsidRPr="004F47BE" w:rsidRDefault="00DA310F" w:rsidP="00B87DA8">
      <w:pPr>
        <w:rPr>
          <w:b/>
          <w:bCs/>
          <w:lang w:val="es-ES"/>
        </w:rPr>
      </w:pPr>
      <w:r w:rsidRPr="004F47BE">
        <w:rPr>
          <w:b/>
          <w:bCs/>
          <w:lang w:val="es-ES"/>
        </w:rPr>
        <w:t>D. Costantino Moretti</w:t>
      </w:r>
    </w:p>
    <w:p w14:paraId="26451F7F" w14:textId="77777777" w:rsidR="00DA310F" w:rsidRPr="004F47BE" w:rsidRDefault="00DA310F" w:rsidP="00B87DA8">
      <w:pPr>
        <w:rPr>
          <w:b/>
          <w:bCs/>
          <w:lang w:val="es-ES"/>
        </w:rPr>
      </w:pPr>
    </w:p>
    <w:p w14:paraId="44D62281" w14:textId="77777777" w:rsidR="00DA310F" w:rsidRPr="004F47BE" w:rsidRDefault="00DA310F" w:rsidP="00B87DA8">
      <w:pPr>
        <w:rPr>
          <w:b/>
          <w:bCs/>
          <w:lang w:val="es-ES"/>
        </w:rPr>
      </w:pPr>
    </w:p>
    <w:p w14:paraId="65F680C2" w14:textId="77777777" w:rsidR="00DA310F" w:rsidRPr="004F47BE" w:rsidRDefault="00DA310F" w:rsidP="00B87DA8">
      <w:pPr>
        <w:rPr>
          <w:b/>
          <w:bCs/>
          <w:lang w:val="es-ES"/>
        </w:rPr>
      </w:pPr>
    </w:p>
    <w:p w14:paraId="4076EDCB" w14:textId="730899A7" w:rsidR="00DA310F" w:rsidRPr="004F47BE" w:rsidRDefault="00DA310F" w:rsidP="00B87DA8">
      <w:pPr>
        <w:rPr>
          <w:b/>
          <w:bCs/>
          <w:lang w:val="fr-FR"/>
        </w:rPr>
      </w:pPr>
      <w:r w:rsidRPr="004F47BE">
        <w:rPr>
          <w:b/>
          <w:bCs/>
          <w:lang w:val="fr-FR"/>
        </w:rPr>
        <w:t>D. Geraint Jones</w:t>
      </w:r>
    </w:p>
    <w:p w14:paraId="2D8D51A0" w14:textId="77777777" w:rsidR="00DA310F" w:rsidRPr="004F47BE" w:rsidRDefault="00DA310F" w:rsidP="00B87DA8">
      <w:pPr>
        <w:rPr>
          <w:b/>
          <w:bCs/>
          <w:lang w:val="fr-FR"/>
        </w:rPr>
      </w:pPr>
    </w:p>
    <w:p w14:paraId="2181288A" w14:textId="77777777" w:rsidR="00DA310F" w:rsidRPr="004F47BE" w:rsidRDefault="00DA310F" w:rsidP="00B87DA8">
      <w:pPr>
        <w:rPr>
          <w:b/>
          <w:bCs/>
          <w:lang w:val="fr-FR"/>
        </w:rPr>
      </w:pPr>
    </w:p>
    <w:p w14:paraId="72FCFF8F" w14:textId="77777777" w:rsidR="00DA310F" w:rsidRPr="004F47BE" w:rsidRDefault="00DA310F" w:rsidP="00B87DA8">
      <w:pPr>
        <w:rPr>
          <w:b/>
          <w:bCs/>
          <w:lang w:val="fr-FR"/>
        </w:rPr>
      </w:pPr>
    </w:p>
    <w:p w14:paraId="64DB5665" w14:textId="73637D66" w:rsidR="00DA310F" w:rsidRPr="004F47BE" w:rsidRDefault="00DA310F" w:rsidP="00B87DA8">
      <w:pPr>
        <w:rPr>
          <w:b/>
          <w:bCs/>
          <w:lang w:val="fr-FR"/>
        </w:rPr>
      </w:pPr>
      <w:r w:rsidRPr="004F47BE">
        <w:rPr>
          <w:b/>
          <w:bCs/>
          <w:lang w:val="fr-FR"/>
        </w:rPr>
        <w:t>D</w:t>
      </w:r>
      <w:r w:rsidR="004F47BE">
        <w:rPr>
          <w:b/>
          <w:bCs/>
          <w:lang w:val="fr-FR"/>
        </w:rPr>
        <w:t>.ª</w:t>
      </w:r>
      <w:r w:rsidRPr="004F47BE">
        <w:rPr>
          <w:b/>
          <w:bCs/>
          <w:lang w:val="fr-FR"/>
        </w:rPr>
        <w:t xml:space="preserve"> Delphine Asseraf</w:t>
      </w:r>
    </w:p>
    <w:p w14:paraId="4D8E5701" w14:textId="77777777" w:rsidR="00DA310F" w:rsidRPr="004F47BE" w:rsidRDefault="00DA310F" w:rsidP="00B87DA8">
      <w:pPr>
        <w:rPr>
          <w:b/>
          <w:bCs/>
          <w:lang w:val="fr-FR"/>
        </w:rPr>
      </w:pPr>
    </w:p>
    <w:p w14:paraId="68AC93EF" w14:textId="77777777" w:rsidR="00DA310F" w:rsidRPr="004F47BE" w:rsidRDefault="00DA310F" w:rsidP="00B87DA8">
      <w:pPr>
        <w:rPr>
          <w:b/>
          <w:bCs/>
          <w:lang w:val="fr-FR"/>
        </w:rPr>
      </w:pPr>
    </w:p>
    <w:p w14:paraId="3FB4181B" w14:textId="77777777" w:rsidR="00DA310F" w:rsidRPr="004F47BE" w:rsidRDefault="00DA310F" w:rsidP="00B87DA8">
      <w:pPr>
        <w:rPr>
          <w:b/>
          <w:bCs/>
          <w:lang w:val="fr-FR"/>
        </w:rPr>
      </w:pPr>
    </w:p>
    <w:p w14:paraId="7BE69D28" w14:textId="6203723B" w:rsidR="00DA310F" w:rsidRPr="00CA15D5" w:rsidRDefault="00DA310F" w:rsidP="00B87DA8">
      <w:pPr>
        <w:rPr>
          <w:b/>
          <w:bCs/>
          <w:lang w:val="es-ES"/>
        </w:rPr>
      </w:pPr>
      <w:r w:rsidRPr="00CA15D5">
        <w:rPr>
          <w:b/>
          <w:bCs/>
          <w:lang w:val="es-ES"/>
        </w:rPr>
        <w:t>D</w:t>
      </w:r>
      <w:r w:rsidR="004F47BE" w:rsidRPr="00CA15D5">
        <w:rPr>
          <w:b/>
          <w:bCs/>
          <w:lang w:val="es-ES"/>
        </w:rPr>
        <w:t>.ª</w:t>
      </w:r>
      <w:r w:rsidRPr="00CA15D5">
        <w:rPr>
          <w:b/>
          <w:bCs/>
          <w:lang w:val="es-ES"/>
        </w:rPr>
        <w:t xml:space="preserve"> Annette Elizabeth Court</w:t>
      </w:r>
    </w:p>
    <w:p w14:paraId="48B576FE" w14:textId="74A2CE8E" w:rsidR="00DA310F" w:rsidRPr="00CA15D5" w:rsidRDefault="00DA310F" w:rsidP="00CA15D5">
      <w:pPr>
        <w:rPr>
          <w:b/>
          <w:bCs/>
          <w:lang w:val="es-ES"/>
        </w:rPr>
      </w:pPr>
      <w:r w:rsidRPr="00CA15D5">
        <w:rPr>
          <w:b/>
          <w:bCs/>
          <w:lang w:val="es-ES"/>
        </w:rPr>
        <w:br w:type="page"/>
      </w:r>
    </w:p>
    <w:p w14:paraId="313BBD9B" w14:textId="37A3A03E" w:rsidR="00DA310F" w:rsidRDefault="00DA310F" w:rsidP="00B87DA8">
      <w:pPr>
        <w:rPr>
          <w:rFonts w:eastAsia="Times New Roman"/>
          <w:b/>
          <w:bCs/>
          <w:szCs w:val="24"/>
          <w:lang w:val="es-ES" w:eastAsia="es-ES"/>
        </w:rPr>
      </w:pPr>
      <w:r w:rsidRPr="00DA310F">
        <w:rPr>
          <w:rFonts w:eastAsia="Times New Roman"/>
          <w:b/>
          <w:bCs/>
          <w:szCs w:val="24"/>
          <w:lang w:val="es-ES" w:eastAsia="es-ES"/>
        </w:rPr>
        <w:lastRenderedPageBreak/>
        <w:t xml:space="preserve">Los consejeros de la Sociedad </w:t>
      </w:r>
      <w:r>
        <w:rPr>
          <w:rFonts w:eastAsia="Times New Roman"/>
          <w:b/>
          <w:bCs/>
          <w:szCs w:val="24"/>
          <w:lang w:val="es-ES" w:eastAsia="es-ES"/>
        </w:rPr>
        <w:t>Absorbida</w:t>
      </w:r>
    </w:p>
    <w:p w14:paraId="54F30222" w14:textId="77777777" w:rsidR="00DA310F" w:rsidRDefault="00DA310F" w:rsidP="00B87DA8">
      <w:pPr>
        <w:rPr>
          <w:rFonts w:eastAsia="Times New Roman"/>
          <w:b/>
          <w:bCs/>
          <w:szCs w:val="24"/>
          <w:lang w:val="es-ES" w:eastAsia="es-ES"/>
        </w:rPr>
      </w:pPr>
    </w:p>
    <w:p w14:paraId="00C0C50C" w14:textId="77777777" w:rsidR="00DA310F" w:rsidRPr="00DA310F" w:rsidRDefault="00DA310F" w:rsidP="00B87DA8">
      <w:pPr>
        <w:rPr>
          <w:rFonts w:eastAsia="Times New Roman"/>
          <w:b/>
          <w:bCs/>
          <w:szCs w:val="24"/>
          <w:lang w:val="es-ES" w:eastAsia="es-ES"/>
        </w:rPr>
      </w:pPr>
    </w:p>
    <w:p w14:paraId="30AA9D92" w14:textId="77777777" w:rsidR="00DA310F" w:rsidRPr="00DA310F" w:rsidRDefault="00DA310F" w:rsidP="00B87DA8">
      <w:pPr>
        <w:rPr>
          <w:b/>
          <w:bCs/>
          <w:lang w:val="es-ES"/>
        </w:rPr>
      </w:pPr>
    </w:p>
    <w:p w14:paraId="7A786F04" w14:textId="56511EF7" w:rsidR="00DA310F" w:rsidRPr="00DA310F" w:rsidRDefault="00DA310F" w:rsidP="00B87DA8">
      <w:pPr>
        <w:rPr>
          <w:rFonts w:eastAsia="Times New Roman"/>
          <w:b/>
          <w:bCs/>
          <w:szCs w:val="24"/>
          <w:lang w:val="it-IT" w:eastAsia="es-ES"/>
        </w:rPr>
      </w:pPr>
      <w:r w:rsidRPr="00DA310F">
        <w:rPr>
          <w:rFonts w:eastAsia="Times New Roman"/>
          <w:b/>
          <w:bCs/>
          <w:szCs w:val="24"/>
          <w:lang w:val="it-IT" w:eastAsia="es-ES"/>
        </w:rPr>
        <w:t>D. Costantino Moretti</w:t>
      </w:r>
    </w:p>
    <w:p w14:paraId="7947DEB7" w14:textId="77777777" w:rsidR="00DA310F" w:rsidRPr="00DA310F" w:rsidRDefault="00DA310F" w:rsidP="00B87DA8">
      <w:pPr>
        <w:rPr>
          <w:rFonts w:eastAsia="Times New Roman"/>
          <w:b/>
          <w:bCs/>
          <w:szCs w:val="24"/>
          <w:lang w:val="it-IT" w:eastAsia="es-ES"/>
        </w:rPr>
      </w:pPr>
    </w:p>
    <w:p w14:paraId="553812D5" w14:textId="77777777" w:rsidR="00DA310F" w:rsidRPr="00DA310F" w:rsidRDefault="00DA310F" w:rsidP="00B87DA8">
      <w:pPr>
        <w:rPr>
          <w:rFonts w:eastAsia="Times New Roman"/>
          <w:b/>
          <w:bCs/>
          <w:szCs w:val="24"/>
          <w:lang w:val="it-IT" w:eastAsia="es-ES"/>
        </w:rPr>
      </w:pPr>
    </w:p>
    <w:p w14:paraId="6A1610A3" w14:textId="77777777" w:rsidR="00DA310F" w:rsidRPr="004F47BE" w:rsidRDefault="00DA310F" w:rsidP="00B87DA8">
      <w:pPr>
        <w:rPr>
          <w:b/>
          <w:bCs/>
          <w:lang w:val="it-IT"/>
        </w:rPr>
      </w:pPr>
    </w:p>
    <w:p w14:paraId="5CC71EED" w14:textId="637D6665" w:rsidR="00DA310F" w:rsidRPr="00DA310F" w:rsidRDefault="00DA310F" w:rsidP="00B87DA8">
      <w:pPr>
        <w:rPr>
          <w:rFonts w:eastAsia="Times New Roman"/>
          <w:b/>
          <w:bCs/>
          <w:szCs w:val="24"/>
          <w:lang w:val="it-IT" w:eastAsia="es-ES"/>
        </w:rPr>
      </w:pPr>
      <w:r w:rsidRPr="00DA310F">
        <w:rPr>
          <w:rFonts w:eastAsia="Times New Roman"/>
          <w:b/>
          <w:bCs/>
          <w:szCs w:val="24"/>
          <w:lang w:val="it-IT" w:eastAsia="es-ES"/>
        </w:rPr>
        <w:t>D</w:t>
      </w:r>
      <w:r w:rsidR="00A279D3">
        <w:rPr>
          <w:rFonts w:eastAsia="Times New Roman"/>
          <w:b/>
          <w:bCs/>
          <w:szCs w:val="24"/>
          <w:lang w:val="it-IT" w:eastAsia="es-ES"/>
        </w:rPr>
        <w:t>.ª</w:t>
      </w:r>
      <w:r w:rsidRPr="00DA310F">
        <w:rPr>
          <w:rFonts w:eastAsia="Times New Roman"/>
          <w:b/>
          <w:bCs/>
          <w:szCs w:val="24"/>
          <w:lang w:val="it-IT" w:eastAsia="es-ES"/>
        </w:rPr>
        <w:t xml:space="preserve"> Sarah Elisabeth Harris</w:t>
      </w:r>
    </w:p>
    <w:p w14:paraId="5DFA5B50" w14:textId="77777777" w:rsidR="00DA310F" w:rsidRPr="00DA310F" w:rsidRDefault="00DA310F" w:rsidP="00B87DA8">
      <w:pPr>
        <w:rPr>
          <w:rFonts w:eastAsia="Times New Roman"/>
          <w:b/>
          <w:bCs/>
          <w:szCs w:val="24"/>
          <w:lang w:val="it-IT" w:eastAsia="es-ES"/>
        </w:rPr>
      </w:pPr>
    </w:p>
    <w:p w14:paraId="688DF782" w14:textId="77777777" w:rsidR="00DA310F" w:rsidRPr="00DA310F" w:rsidRDefault="00DA310F" w:rsidP="00B87DA8">
      <w:pPr>
        <w:rPr>
          <w:rFonts w:eastAsia="Times New Roman"/>
          <w:b/>
          <w:bCs/>
          <w:szCs w:val="24"/>
          <w:lang w:val="it-IT" w:eastAsia="es-ES"/>
        </w:rPr>
      </w:pPr>
    </w:p>
    <w:p w14:paraId="295D2233" w14:textId="77777777" w:rsidR="00DA310F" w:rsidRPr="00DA310F" w:rsidRDefault="00DA310F" w:rsidP="00B87DA8">
      <w:pPr>
        <w:rPr>
          <w:rFonts w:eastAsia="Times New Roman"/>
          <w:b/>
          <w:bCs/>
          <w:szCs w:val="24"/>
          <w:lang w:val="it-IT" w:eastAsia="es-ES"/>
        </w:rPr>
      </w:pPr>
    </w:p>
    <w:p w14:paraId="0A525BAB" w14:textId="77777777" w:rsidR="00DA310F" w:rsidRPr="004F47BE" w:rsidRDefault="00DA310F" w:rsidP="00B87DA8">
      <w:pPr>
        <w:rPr>
          <w:b/>
          <w:bCs/>
          <w:lang w:val="it-IT"/>
        </w:rPr>
      </w:pPr>
    </w:p>
    <w:p w14:paraId="3601EBFF" w14:textId="1BCB8CC6" w:rsidR="00DA310F" w:rsidRPr="00A279D3" w:rsidRDefault="00DA310F" w:rsidP="00B87DA8">
      <w:pPr>
        <w:rPr>
          <w:rFonts w:eastAsia="Times New Roman"/>
          <w:b/>
          <w:bCs/>
          <w:szCs w:val="24"/>
          <w:lang w:val="it-IT" w:eastAsia="es-ES"/>
        </w:rPr>
      </w:pPr>
      <w:r w:rsidRPr="00A279D3">
        <w:rPr>
          <w:rFonts w:eastAsia="Times New Roman"/>
          <w:b/>
          <w:bCs/>
          <w:szCs w:val="24"/>
          <w:lang w:val="it-IT" w:eastAsia="es-ES"/>
        </w:rPr>
        <w:t>D</w:t>
      </w:r>
      <w:r w:rsidR="00A279D3" w:rsidRPr="00A279D3">
        <w:rPr>
          <w:rFonts w:eastAsia="Times New Roman"/>
          <w:b/>
          <w:bCs/>
          <w:szCs w:val="24"/>
          <w:lang w:val="it-IT" w:eastAsia="es-ES"/>
        </w:rPr>
        <w:t>.</w:t>
      </w:r>
      <w:r w:rsidR="00A279D3">
        <w:rPr>
          <w:rFonts w:eastAsia="Times New Roman"/>
          <w:b/>
          <w:bCs/>
          <w:szCs w:val="24"/>
          <w:lang w:val="it-IT" w:eastAsia="es-ES"/>
        </w:rPr>
        <w:t>ª</w:t>
      </w:r>
      <w:r w:rsidRPr="00A279D3">
        <w:rPr>
          <w:rFonts w:eastAsia="Times New Roman"/>
          <w:b/>
          <w:bCs/>
          <w:szCs w:val="24"/>
          <w:lang w:val="it-IT" w:eastAsia="es-ES"/>
        </w:rPr>
        <w:t xml:space="preserve"> Paola Cagliani</w:t>
      </w:r>
    </w:p>
    <w:p w14:paraId="24DB0716" w14:textId="77777777" w:rsidR="00DA310F" w:rsidRPr="00A279D3" w:rsidRDefault="00DA310F" w:rsidP="00B87DA8">
      <w:pPr>
        <w:rPr>
          <w:b/>
          <w:bCs/>
          <w:lang w:val="it-IT"/>
        </w:rPr>
      </w:pPr>
    </w:p>
    <w:p w14:paraId="4E4E8A5F" w14:textId="5249051F" w:rsidR="00DA310F" w:rsidRPr="00A279D3" w:rsidRDefault="00DA310F" w:rsidP="00A279D3">
      <w:pPr>
        <w:rPr>
          <w:b/>
          <w:bCs/>
          <w:lang w:val="it-IT"/>
        </w:rPr>
      </w:pPr>
    </w:p>
    <w:sectPr w:rsidR="00DA310F" w:rsidRPr="00A279D3" w:rsidSect="00793050">
      <w:footerReference w:type="default" r:id="rId9"/>
      <w:pgSz w:w="11906" w:h="16838"/>
      <w:pgMar w:top="1922" w:right="1134" w:bottom="1440"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3C573E" w14:textId="77777777" w:rsidR="00DA310F" w:rsidRDefault="00DA310F" w:rsidP="00436752">
      <w:r>
        <w:separator/>
      </w:r>
    </w:p>
  </w:endnote>
  <w:endnote w:type="continuationSeparator" w:id="0">
    <w:p w14:paraId="30BF038F" w14:textId="77777777" w:rsidR="00DA310F" w:rsidRDefault="00DA310F" w:rsidP="004367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Times New Roman Bold">
    <w:altName w:val="Times New Roman"/>
    <w:panose1 w:val="00000000000000000000"/>
    <w:charset w:val="00"/>
    <w:family w:val="roman"/>
    <w:notTrueType/>
    <w:pitch w:val="default"/>
    <w:sig w:usb0="0105007E" w:usb1="0000008D" w:usb2="00000000" w:usb3="00000000" w:csb0="006609FE" w:csb1="00BD5CC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1497736"/>
      <w:docPartObj>
        <w:docPartGallery w:val="Page Numbers (Bottom of Page)"/>
        <w:docPartUnique/>
      </w:docPartObj>
    </w:sdtPr>
    <w:sdtEndPr/>
    <w:sdtContent>
      <w:p w14:paraId="4C7D15AE" w14:textId="2BB7A0F2" w:rsidR="00B87DA8" w:rsidRDefault="00B87DA8">
        <w:pPr>
          <w:pStyle w:val="Piedepgina"/>
          <w:jc w:val="right"/>
        </w:pPr>
        <w:r>
          <w:fldChar w:fldCharType="begin"/>
        </w:r>
        <w:r>
          <w:instrText>PAGE   \* MERGEFORMAT</w:instrText>
        </w:r>
        <w:r>
          <w:fldChar w:fldCharType="separate"/>
        </w:r>
        <w:r>
          <w:rPr>
            <w:lang w:val="es-ES"/>
          </w:rPr>
          <w:t>2</w:t>
        </w:r>
        <w:r>
          <w:fldChar w:fldCharType="end"/>
        </w:r>
      </w:p>
    </w:sdtContent>
  </w:sdt>
  <w:p w14:paraId="3B4138BD" w14:textId="77777777" w:rsidR="002F06F9" w:rsidRDefault="002F06F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1B12B6" w14:textId="77777777" w:rsidR="00DA310F" w:rsidRDefault="00DA310F" w:rsidP="00436752">
      <w:r>
        <w:separator/>
      </w:r>
    </w:p>
  </w:footnote>
  <w:footnote w:type="continuationSeparator" w:id="0">
    <w:p w14:paraId="640AE855" w14:textId="77777777" w:rsidR="00DA310F" w:rsidRDefault="00DA310F" w:rsidP="00436752">
      <w:r>
        <w:continuationSeparator/>
      </w:r>
    </w:p>
  </w:footnote>
  <w:footnote w:id="1">
    <w:p w14:paraId="789C797C" w14:textId="77777777" w:rsidR="00B87DA8" w:rsidRPr="008720F2" w:rsidRDefault="00B87DA8" w:rsidP="00B87DA8">
      <w:pPr>
        <w:pStyle w:val="Textonotapie"/>
        <w:rPr>
          <w:lang w:val="es-ES"/>
        </w:rPr>
      </w:pPr>
      <w:r>
        <w:rPr>
          <w:rStyle w:val="Refdenotaalpie"/>
        </w:rPr>
        <w:footnoteRef/>
      </w:r>
      <w:r w:rsidRPr="008720F2">
        <w:rPr>
          <w:lang w:val="es-ES"/>
        </w:rPr>
        <w:t xml:space="preserve"> </w:t>
      </w:r>
      <w:r>
        <w:rPr>
          <w:lang w:val="es-ES"/>
        </w:rPr>
        <w:t>Estos</w:t>
      </w:r>
      <w:r w:rsidRPr="008720F2">
        <w:rPr>
          <w:lang w:val="es-ES"/>
        </w:rPr>
        <w:t xml:space="preserve"> procesos </w:t>
      </w:r>
      <w:r>
        <w:rPr>
          <w:lang w:val="es-ES"/>
        </w:rPr>
        <w:t xml:space="preserve">se desarrollaran </w:t>
      </w:r>
      <w:r w:rsidRPr="008720F2">
        <w:rPr>
          <w:lang w:val="es-ES"/>
        </w:rPr>
        <w:t xml:space="preserve">en paralelo al proceso de </w:t>
      </w:r>
      <w:r>
        <w:rPr>
          <w:lang w:val="es-ES"/>
        </w:rPr>
        <w:t xml:space="preserve">Fusión durante el mes de marzo.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45528"/>
    <w:multiLevelType w:val="hybridMultilevel"/>
    <w:tmpl w:val="59F2FD02"/>
    <w:lvl w:ilvl="0" w:tplc="FFFFFFFF">
      <w:start w:val="1"/>
      <w:numFmt w:val="lowerRoman"/>
      <w:lvlText w:val="%1."/>
      <w:lvlJc w:val="right"/>
      <w:pPr>
        <w:ind w:left="720" w:hanging="360"/>
      </w:pPr>
    </w:lvl>
    <w:lvl w:ilvl="1" w:tplc="23F030B8">
      <w:start w:val="1"/>
      <w:numFmt w:val="bullet"/>
      <w:lvlText w:val="-"/>
      <w:lvlJc w:val="left"/>
      <w:pPr>
        <w:ind w:left="1440" w:hanging="360"/>
      </w:pPr>
      <w:rPr>
        <w:rFonts w:ascii="Arial" w:eastAsiaTheme="minorHAnsi" w:hAnsi="Arial" w:cs="Arial" w:hint="default"/>
      </w:rPr>
    </w:lvl>
    <w:lvl w:ilvl="2" w:tplc="0C0A0005">
      <w:start w:val="1"/>
      <w:numFmt w:val="bullet"/>
      <w:lvlText w:val=""/>
      <w:lvlJc w:val="left"/>
      <w:pPr>
        <w:ind w:left="2340" w:hanging="360"/>
      </w:pPr>
      <w:rPr>
        <w:rFonts w:ascii="Wingdings" w:hAnsi="Wingdings" w:hint="default"/>
      </w:rPr>
    </w:lvl>
    <w:lvl w:ilvl="3" w:tplc="CDA600C8">
      <w:start w:val="1"/>
      <w:numFmt w:val="upperRoman"/>
      <w:lvlText w:val="%4."/>
      <w:lvlJc w:val="left"/>
      <w:pPr>
        <w:ind w:left="3240" w:hanging="720"/>
      </w:pPr>
      <w:rPr>
        <w:rFonts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CE56DE9"/>
    <w:multiLevelType w:val="multilevel"/>
    <w:tmpl w:val="7A9645EA"/>
    <w:name w:val="20b5d411-d8ac-4985-bcbd-116c7259af4d"/>
    <w:styleLink w:val="ListaGAPPARRconn"/>
    <w:lvl w:ilvl="0">
      <w:start w:val="1"/>
      <w:numFmt w:val="decimal"/>
      <w:lvlText w:val="(%1)"/>
      <w:lvlJc w:val="left"/>
      <w:pPr>
        <w:ind w:left="992" w:hanging="425"/>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3E85931"/>
    <w:multiLevelType w:val="hybridMultilevel"/>
    <w:tmpl w:val="7748A8E4"/>
    <w:lvl w:ilvl="0" w:tplc="B8DEACAE">
      <w:start w:val="1"/>
      <w:numFmt w:val="upperLetter"/>
      <w:pStyle w:val="ListaABCD"/>
      <w:lvlText w:val="(%1)"/>
      <w:lvlJc w:val="center"/>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13FA21B0"/>
    <w:multiLevelType w:val="hybridMultilevel"/>
    <w:tmpl w:val="B9964A28"/>
    <w:lvl w:ilvl="0" w:tplc="42202BAC">
      <w:start w:val="1"/>
      <w:numFmt w:val="decimal"/>
      <w:pStyle w:val="Lista1234"/>
      <w:lvlText w:val="%1)"/>
      <w:lvlJc w:val="center"/>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216C66CF"/>
    <w:multiLevelType w:val="multilevel"/>
    <w:tmpl w:val="91AE3B32"/>
    <w:lvl w:ilvl="0">
      <w:start w:val="2"/>
      <w:numFmt w:val="decimal"/>
      <w:lvlText w:val="%1."/>
      <w:lvlJc w:val="left"/>
      <w:pPr>
        <w:ind w:left="72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5" w15:restartNumberingAfterBreak="0">
    <w:nsid w:val="21F276FE"/>
    <w:multiLevelType w:val="hybridMultilevel"/>
    <w:tmpl w:val="87AEC30C"/>
    <w:lvl w:ilvl="0" w:tplc="0C0A0017">
      <w:start w:val="1"/>
      <w:numFmt w:val="lowerLetter"/>
      <w:lvlText w:val="%1)"/>
      <w:lvlJc w:val="left"/>
      <w:pPr>
        <w:ind w:left="2138" w:hanging="360"/>
      </w:pPr>
    </w:lvl>
    <w:lvl w:ilvl="1" w:tplc="0C0A0019" w:tentative="1">
      <w:start w:val="1"/>
      <w:numFmt w:val="lowerLetter"/>
      <w:lvlText w:val="%2."/>
      <w:lvlJc w:val="left"/>
      <w:pPr>
        <w:ind w:left="2858" w:hanging="360"/>
      </w:pPr>
    </w:lvl>
    <w:lvl w:ilvl="2" w:tplc="0C0A001B" w:tentative="1">
      <w:start w:val="1"/>
      <w:numFmt w:val="lowerRoman"/>
      <w:lvlText w:val="%3."/>
      <w:lvlJc w:val="right"/>
      <w:pPr>
        <w:ind w:left="3578" w:hanging="180"/>
      </w:pPr>
    </w:lvl>
    <w:lvl w:ilvl="3" w:tplc="0C0A000F" w:tentative="1">
      <w:start w:val="1"/>
      <w:numFmt w:val="decimal"/>
      <w:lvlText w:val="%4."/>
      <w:lvlJc w:val="left"/>
      <w:pPr>
        <w:ind w:left="4298" w:hanging="360"/>
      </w:pPr>
    </w:lvl>
    <w:lvl w:ilvl="4" w:tplc="0C0A0019">
      <w:start w:val="1"/>
      <w:numFmt w:val="lowerLetter"/>
      <w:lvlText w:val="%5."/>
      <w:lvlJc w:val="left"/>
      <w:pPr>
        <w:ind w:left="5018" w:hanging="360"/>
      </w:pPr>
    </w:lvl>
    <w:lvl w:ilvl="5" w:tplc="0C0A001B" w:tentative="1">
      <w:start w:val="1"/>
      <w:numFmt w:val="lowerRoman"/>
      <w:lvlText w:val="%6."/>
      <w:lvlJc w:val="right"/>
      <w:pPr>
        <w:ind w:left="5738" w:hanging="180"/>
      </w:pPr>
    </w:lvl>
    <w:lvl w:ilvl="6" w:tplc="0C0A000F" w:tentative="1">
      <w:start w:val="1"/>
      <w:numFmt w:val="decimal"/>
      <w:lvlText w:val="%7."/>
      <w:lvlJc w:val="left"/>
      <w:pPr>
        <w:ind w:left="6458" w:hanging="360"/>
      </w:pPr>
    </w:lvl>
    <w:lvl w:ilvl="7" w:tplc="0C0A0019" w:tentative="1">
      <w:start w:val="1"/>
      <w:numFmt w:val="lowerLetter"/>
      <w:lvlText w:val="%8."/>
      <w:lvlJc w:val="left"/>
      <w:pPr>
        <w:ind w:left="7178" w:hanging="360"/>
      </w:pPr>
    </w:lvl>
    <w:lvl w:ilvl="8" w:tplc="0C0A001B" w:tentative="1">
      <w:start w:val="1"/>
      <w:numFmt w:val="lowerRoman"/>
      <w:lvlText w:val="%9."/>
      <w:lvlJc w:val="right"/>
      <w:pPr>
        <w:ind w:left="7898" w:hanging="180"/>
      </w:pPr>
    </w:lvl>
  </w:abstractNum>
  <w:abstractNum w:abstractNumId="6" w15:restartNumberingAfterBreak="0">
    <w:nsid w:val="232744CC"/>
    <w:multiLevelType w:val="hybridMultilevel"/>
    <w:tmpl w:val="6B4CAB3E"/>
    <w:lvl w:ilvl="0" w:tplc="070211A0">
      <w:start w:val="1"/>
      <w:numFmt w:val="lowerRoman"/>
      <w:pStyle w:val="Listaiiiiiiiv"/>
      <w:lvlText w:val="%1)"/>
      <w:lvlJc w:val="center"/>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24CD096C"/>
    <w:multiLevelType w:val="multilevel"/>
    <w:tmpl w:val="B17433D6"/>
    <w:name w:val="1."/>
    <w:styleLink w:val="Estilo1"/>
    <w:lvl w:ilvl="0">
      <w:start w:val="1"/>
      <w:numFmt w:val="decimal"/>
      <w:lvlText w:val="%1."/>
      <w:lvlJc w:val="center"/>
      <w:pPr>
        <w:ind w:left="360" w:hanging="36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8" w15:restartNumberingAfterBreak="0">
    <w:nsid w:val="28A03580"/>
    <w:multiLevelType w:val="multilevel"/>
    <w:tmpl w:val="DE2CF206"/>
    <w:lvl w:ilvl="0">
      <w:start w:val="1"/>
      <w:numFmt w:val="decimal"/>
      <w:pStyle w:val="ListaTitulo1"/>
      <w:lvlText w:val="%1."/>
      <w:lvlJc w:val="center"/>
      <w:pPr>
        <w:ind w:left="360" w:hanging="360"/>
      </w:pPr>
      <w:rPr>
        <w:rFonts w:hint="default"/>
      </w:rPr>
    </w:lvl>
    <w:lvl w:ilvl="1">
      <w:start w:val="1"/>
      <w:numFmt w:val="decimal"/>
      <w:pStyle w:val="ListaTitulo2"/>
      <w:lvlText w:val="%1.%2."/>
      <w:lvlJc w:val="left"/>
      <w:pPr>
        <w:ind w:left="576" w:hanging="576"/>
      </w:pPr>
      <w:rPr>
        <w:rFonts w:hint="default"/>
      </w:rPr>
    </w:lvl>
    <w:lvl w:ilvl="2">
      <w:start w:val="1"/>
      <w:numFmt w:val="decimal"/>
      <w:pStyle w:val="ListaTitulo3"/>
      <w:lvlText w:val="%1.%2.%3."/>
      <w:lvlJc w:val="left"/>
      <w:pPr>
        <w:ind w:left="720" w:hanging="720"/>
      </w:pPr>
      <w:rPr>
        <w:rFonts w:ascii="Times New Roman" w:hAnsi="Times New Roman" w:hint="default"/>
        <w:b/>
        <w:i w:val="0"/>
        <w:sz w:val="24"/>
      </w:rPr>
    </w:lvl>
    <w:lvl w:ilvl="3">
      <w:start w:val="1"/>
      <w:numFmt w:val="decimal"/>
      <w:pStyle w:val="ListaTitulo4"/>
      <w:lvlText w:val="%1.%2.%3.%4."/>
      <w:lvlJc w:val="left"/>
      <w:pPr>
        <w:ind w:left="864" w:hanging="864"/>
      </w:pPr>
      <w:rPr>
        <w:rFonts w:ascii="Times New Roman" w:hAnsi="Times New Roman" w:hint="default"/>
        <w:b w:val="0"/>
        <w:i w:val="0"/>
        <w:sz w:val="24"/>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9" w15:restartNumberingAfterBreak="0">
    <w:nsid w:val="3B29549C"/>
    <w:multiLevelType w:val="hybridMultilevel"/>
    <w:tmpl w:val="4CE08F86"/>
    <w:lvl w:ilvl="0" w:tplc="0C0A001B">
      <w:start w:val="1"/>
      <w:numFmt w:val="lowerRoman"/>
      <w:lvlText w:val="%1."/>
      <w:lvlJc w:val="righ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3C6412D8"/>
    <w:multiLevelType w:val="hybridMultilevel"/>
    <w:tmpl w:val="13284FCA"/>
    <w:lvl w:ilvl="0" w:tplc="FFFFFFFF">
      <w:start w:val="1"/>
      <w:numFmt w:val="lowerRoman"/>
      <w:lvlText w:val="%1."/>
      <w:lvlJc w:val="right"/>
      <w:pPr>
        <w:ind w:left="720" w:hanging="360"/>
      </w:pPr>
    </w:lvl>
    <w:lvl w:ilvl="1" w:tplc="0C0A0001">
      <w:start w:val="1"/>
      <w:numFmt w:val="bullet"/>
      <w:lvlText w:val=""/>
      <w:lvlJc w:val="left"/>
      <w:pPr>
        <w:ind w:left="1440" w:hanging="360"/>
      </w:pPr>
      <w:rPr>
        <w:rFonts w:ascii="Symbol" w:hAnsi="Symbol" w:hint="default"/>
      </w:rPr>
    </w:lvl>
    <w:lvl w:ilvl="2" w:tplc="FFFFFFFF">
      <w:start w:val="1"/>
      <w:numFmt w:val="bullet"/>
      <w:lvlText w:val=""/>
      <w:lvlJc w:val="left"/>
      <w:pPr>
        <w:ind w:left="2340" w:hanging="360"/>
      </w:pPr>
      <w:rPr>
        <w:rFonts w:ascii="Wingdings" w:hAnsi="Wingdings" w:hint="default"/>
      </w:rPr>
    </w:lvl>
    <w:lvl w:ilvl="3" w:tplc="FFFFFFFF">
      <w:start w:val="1"/>
      <w:numFmt w:val="upperRoman"/>
      <w:lvlText w:val="%4."/>
      <w:lvlJc w:val="left"/>
      <w:pPr>
        <w:ind w:left="3240" w:hanging="720"/>
      </w:pPr>
      <w:rPr>
        <w:rFonts w:hint="default"/>
      </w:rPr>
    </w:lvl>
    <w:lvl w:ilvl="4" w:tplc="7D0006CE">
      <w:start w:val="1"/>
      <w:numFmt w:val="lowerLetter"/>
      <w:lvlText w:val="(%5)"/>
      <w:lvlJc w:val="left"/>
      <w:pPr>
        <w:ind w:left="3600" w:hanging="360"/>
      </w:pPr>
      <w:rPr>
        <w:rFonts w:hint="default"/>
      </w:r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3D576168"/>
    <w:multiLevelType w:val="hybridMultilevel"/>
    <w:tmpl w:val="18389106"/>
    <w:lvl w:ilvl="0" w:tplc="F4D644E0">
      <w:start w:val="1"/>
      <w:numFmt w:val="decimal"/>
      <w:pStyle w:val="Lista12340"/>
      <w:lvlText w:val="(%1)"/>
      <w:lvlJc w:val="center"/>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3F7E16DB"/>
    <w:multiLevelType w:val="hybridMultilevel"/>
    <w:tmpl w:val="C2CC896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429878DE"/>
    <w:multiLevelType w:val="hybridMultilevel"/>
    <w:tmpl w:val="BC661538"/>
    <w:lvl w:ilvl="0" w:tplc="AD7AC128">
      <w:start w:val="1"/>
      <w:numFmt w:val="decimal"/>
      <w:pStyle w:val="Lista12341"/>
      <w:lvlText w:val="%1."/>
      <w:lvlJc w:val="center"/>
      <w:pPr>
        <w:ind w:left="720" w:hanging="360"/>
      </w:pPr>
      <w:rPr>
        <w:rFonts w:hint="default"/>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45093069"/>
    <w:multiLevelType w:val="hybridMultilevel"/>
    <w:tmpl w:val="5DC8522A"/>
    <w:lvl w:ilvl="0" w:tplc="FFFFFFFF">
      <w:start w:val="1"/>
      <w:numFmt w:val="lowerRoman"/>
      <w:lvlText w:val="%1."/>
      <w:lvlJc w:val="right"/>
      <w:pPr>
        <w:ind w:left="720" w:hanging="360"/>
      </w:pPr>
    </w:lvl>
    <w:lvl w:ilvl="1" w:tplc="FFFFFFFF">
      <w:start w:val="1"/>
      <w:numFmt w:val="lowerRoman"/>
      <w:lvlText w:val="%2."/>
      <w:lvlJc w:val="right"/>
      <w:pPr>
        <w:ind w:left="1440" w:hanging="360"/>
      </w:pPr>
    </w:lvl>
    <w:lvl w:ilvl="2" w:tplc="FFFFFFFF">
      <w:start w:val="1"/>
      <w:numFmt w:val="bullet"/>
      <w:lvlText w:val=""/>
      <w:lvlJc w:val="left"/>
      <w:pPr>
        <w:ind w:left="2340" w:hanging="360"/>
      </w:pPr>
      <w:rPr>
        <w:rFonts w:ascii="Wingdings" w:hAnsi="Wingdings" w:hint="default"/>
      </w:rPr>
    </w:lvl>
    <w:lvl w:ilvl="3" w:tplc="FFFFFFFF">
      <w:start w:val="1"/>
      <w:numFmt w:val="upperRoman"/>
      <w:lvlText w:val="%4."/>
      <w:lvlJc w:val="left"/>
      <w:pPr>
        <w:ind w:left="3240" w:hanging="720"/>
      </w:pPr>
      <w:rPr>
        <w:rFonts w:hint="default"/>
      </w:rPr>
    </w:lvl>
    <w:lvl w:ilvl="4" w:tplc="0C0A001B">
      <w:start w:val="1"/>
      <w:numFmt w:val="lowerRoman"/>
      <w:lvlText w:val="%5."/>
      <w:lvlJc w:val="righ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595F5326"/>
    <w:multiLevelType w:val="multilevel"/>
    <w:tmpl w:val="68D887F8"/>
    <w:lvl w:ilvl="0">
      <w:start w:val="1"/>
      <w:numFmt w:val="lowerRoman"/>
      <w:lvlText w:val="%1."/>
      <w:lvlJc w:val="right"/>
      <w:pPr>
        <w:ind w:left="720" w:hanging="360"/>
      </w:pPr>
    </w:lvl>
    <w:lvl w:ilvl="1">
      <w:start w:val="1"/>
      <w:numFmt w:val="lowerRoman"/>
      <w:lvlText w:val="%2."/>
      <w:lvlJc w:val="right"/>
      <w:pPr>
        <w:ind w:left="1440" w:hanging="360"/>
      </w:pPr>
    </w:lvl>
    <w:lvl w:ilvl="2">
      <w:start w:val="1"/>
      <w:numFmt w:val="bullet"/>
      <w:lvlText w:val=""/>
      <w:lvlJc w:val="left"/>
      <w:pPr>
        <w:ind w:left="2340" w:hanging="360"/>
      </w:pPr>
      <w:rPr>
        <w:rFonts w:ascii="Wingdings" w:hAnsi="Wingdings" w:hint="default"/>
      </w:rPr>
    </w:lvl>
    <w:lvl w:ilvl="3">
      <w:start w:val="1"/>
      <w:numFmt w:val="upperRoman"/>
      <w:lvlText w:val="%4."/>
      <w:lvlJc w:val="left"/>
      <w:pPr>
        <w:ind w:left="3240" w:hanging="720"/>
      </w:pPr>
      <w:rPr>
        <w:rFonts w:hint="default"/>
      </w:rPr>
    </w:lvl>
    <w:lvl w:ilvl="4">
      <w:start w:val="1"/>
      <w:numFmt w:val="lowerLetter"/>
      <w:lvlText w:val="(%5)"/>
      <w:lvlJc w:val="left"/>
      <w:pPr>
        <w:ind w:left="3600" w:hanging="360"/>
      </w:pPr>
      <w:rPr>
        <w:rFonts w:hint="default"/>
      </w:r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5C671C3B"/>
    <w:multiLevelType w:val="hybridMultilevel"/>
    <w:tmpl w:val="7A06B2F4"/>
    <w:lvl w:ilvl="0" w:tplc="FFFFFFFF">
      <w:start w:val="1"/>
      <w:numFmt w:val="lowerRoman"/>
      <w:lvlText w:val="%1."/>
      <w:lvlJc w:val="right"/>
      <w:pPr>
        <w:ind w:left="720" w:hanging="360"/>
      </w:pPr>
    </w:lvl>
    <w:lvl w:ilvl="1" w:tplc="0C0A001B">
      <w:start w:val="1"/>
      <w:numFmt w:val="lowerRoman"/>
      <w:lvlText w:val="%2."/>
      <w:lvlJc w:val="right"/>
      <w:pPr>
        <w:ind w:left="1440" w:hanging="360"/>
      </w:pPr>
    </w:lvl>
    <w:lvl w:ilvl="2" w:tplc="FFFFFFFF">
      <w:start w:val="1"/>
      <w:numFmt w:val="bullet"/>
      <w:lvlText w:val=""/>
      <w:lvlJc w:val="left"/>
      <w:pPr>
        <w:ind w:left="2340" w:hanging="360"/>
      </w:pPr>
      <w:rPr>
        <w:rFonts w:ascii="Wingdings" w:hAnsi="Wingdings" w:hint="default"/>
      </w:rPr>
    </w:lvl>
    <w:lvl w:ilvl="3" w:tplc="FFFFFFFF">
      <w:start w:val="1"/>
      <w:numFmt w:val="upperRoman"/>
      <w:lvlText w:val="%4."/>
      <w:lvlJc w:val="left"/>
      <w:pPr>
        <w:ind w:left="3240" w:hanging="720"/>
      </w:pPr>
      <w:rPr>
        <w:rFonts w:hint="default"/>
      </w:rPr>
    </w:lvl>
    <w:lvl w:ilvl="4" w:tplc="D16007A4">
      <w:start w:val="1"/>
      <w:numFmt w:val="lowerRoman"/>
      <w:lvlText w:val="(%5)"/>
      <w:lvlJc w:val="left"/>
      <w:pPr>
        <w:ind w:left="3960" w:hanging="720"/>
      </w:pPr>
      <w:rPr>
        <w:rFonts w:hint="default"/>
      </w:r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643F1958"/>
    <w:multiLevelType w:val="hybridMultilevel"/>
    <w:tmpl w:val="E82A5B90"/>
    <w:lvl w:ilvl="0" w:tplc="FB2C7616">
      <w:start w:val="1"/>
      <w:numFmt w:val="decimal"/>
      <w:pStyle w:val="Ttulo1"/>
      <w:lvlText w:val="%1."/>
      <w:lvlJc w:val="center"/>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6EF16AA9"/>
    <w:multiLevelType w:val="hybridMultilevel"/>
    <w:tmpl w:val="52C0F5B4"/>
    <w:lvl w:ilvl="0" w:tplc="7AB2716C">
      <w:start w:val="1"/>
      <w:numFmt w:val="decimal"/>
      <w:pStyle w:val="Listaclausulas1-2-3-"/>
      <w:lvlText w:val="%1 -  "/>
      <w:lvlJc w:val="center"/>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78D13CC0"/>
    <w:multiLevelType w:val="hybridMultilevel"/>
    <w:tmpl w:val="53BCA3EC"/>
    <w:lvl w:ilvl="0" w:tplc="4EAED6CE">
      <w:start w:val="1"/>
      <w:numFmt w:val="lowerLetter"/>
      <w:pStyle w:val="Listaabcd0"/>
      <w:lvlText w:val="%1)"/>
      <w:lvlJc w:val="center"/>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0" w15:restartNumberingAfterBreak="0">
    <w:nsid w:val="7C5649ED"/>
    <w:multiLevelType w:val="multilevel"/>
    <w:tmpl w:val="B17433D6"/>
    <w:name w:val="1.2"/>
    <w:numStyleLink w:val="Estilo1"/>
  </w:abstractNum>
  <w:abstractNum w:abstractNumId="21" w15:restartNumberingAfterBreak="0">
    <w:nsid w:val="7D6267D4"/>
    <w:multiLevelType w:val="hybridMultilevel"/>
    <w:tmpl w:val="E1EE26C6"/>
    <w:lvl w:ilvl="0" w:tplc="0C0A001B">
      <w:start w:val="1"/>
      <w:numFmt w:val="lowerRoman"/>
      <w:lvlText w:val="%1."/>
      <w:lvlJc w:val="right"/>
      <w:pPr>
        <w:ind w:left="1211" w:hanging="360"/>
      </w:pPr>
    </w:lvl>
    <w:lvl w:ilvl="1" w:tplc="0C0A0019" w:tentative="1">
      <w:start w:val="1"/>
      <w:numFmt w:val="lowerLetter"/>
      <w:lvlText w:val="%2."/>
      <w:lvlJc w:val="left"/>
      <w:pPr>
        <w:ind w:left="1931" w:hanging="360"/>
      </w:pPr>
    </w:lvl>
    <w:lvl w:ilvl="2" w:tplc="0C0A001B" w:tentative="1">
      <w:start w:val="1"/>
      <w:numFmt w:val="lowerRoman"/>
      <w:lvlText w:val="%3."/>
      <w:lvlJc w:val="right"/>
      <w:pPr>
        <w:ind w:left="2651" w:hanging="180"/>
      </w:pPr>
    </w:lvl>
    <w:lvl w:ilvl="3" w:tplc="0C0A000F" w:tentative="1">
      <w:start w:val="1"/>
      <w:numFmt w:val="decimal"/>
      <w:lvlText w:val="%4."/>
      <w:lvlJc w:val="left"/>
      <w:pPr>
        <w:ind w:left="3371" w:hanging="360"/>
      </w:pPr>
    </w:lvl>
    <w:lvl w:ilvl="4" w:tplc="0C0A0019" w:tentative="1">
      <w:start w:val="1"/>
      <w:numFmt w:val="lowerLetter"/>
      <w:lvlText w:val="%5."/>
      <w:lvlJc w:val="left"/>
      <w:pPr>
        <w:ind w:left="4091" w:hanging="360"/>
      </w:pPr>
    </w:lvl>
    <w:lvl w:ilvl="5" w:tplc="0C0A001B" w:tentative="1">
      <w:start w:val="1"/>
      <w:numFmt w:val="lowerRoman"/>
      <w:lvlText w:val="%6."/>
      <w:lvlJc w:val="right"/>
      <w:pPr>
        <w:ind w:left="4811" w:hanging="180"/>
      </w:pPr>
    </w:lvl>
    <w:lvl w:ilvl="6" w:tplc="0C0A000F" w:tentative="1">
      <w:start w:val="1"/>
      <w:numFmt w:val="decimal"/>
      <w:lvlText w:val="%7."/>
      <w:lvlJc w:val="left"/>
      <w:pPr>
        <w:ind w:left="5531" w:hanging="360"/>
      </w:pPr>
    </w:lvl>
    <w:lvl w:ilvl="7" w:tplc="0C0A0019" w:tentative="1">
      <w:start w:val="1"/>
      <w:numFmt w:val="lowerLetter"/>
      <w:lvlText w:val="%8."/>
      <w:lvlJc w:val="left"/>
      <w:pPr>
        <w:ind w:left="6251" w:hanging="360"/>
      </w:pPr>
    </w:lvl>
    <w:lvl w:ilvl="8" w:tplc="0C0A001B" w:tentative="1">
      <w:start w:val="1"/>
      <w:numFmt w:val="lowerRoman"/>
      <w:lvlText w:val="%9."/>
      <w:lvlJc w:val="right"/>
      <w:pPr>
        <w:ind w:left="6971" w:hanging="180"/>
      </w:pPr>
    </w:lvl>
  </w:abstractNum>
  <w:abstractNum w:abstractNumId="22" w15:restartNumberingAfterBreak="0">
    <w:nsid w:val="7FFA7C6E"/>
    <w:multiLevelType w:val="hybridMultilevel"/>
    <w:tmpl w:val="D6F8757C"/>
    <w:lvl w:ilvl="0" w:tplc="8E5268A8">
      <w:start w:val="1"/>
      <w:numFmt w:val="upperRoman"/>
      <w:pStyle w:val="ListaIIIIIIIV0"/>
      <w:lvlText w:val="%1."/>
      <w:lvlJc w:val="center"/>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724331708">
    <w:abstractNumId w:val="2"/>
  </w:num>
  <w:num w:numId="2" w16cid:durableId="267082394">
    <w:abstractNumId w:val="11"/>
  </w:num>
  <w:num w:numId="3" w16cid:durableId="1751460945">
    <w:abstractNumId w:val="22"/>
  </w:num>
  <w:num w:numId="4" w16cid:durableId="4329549">
    <w:abstractNumId w:val="19"/>
  </w:num>
  <w:num w:numId="5" w16cid:durableId="1864830052">
    <w:abstractNumId w:val="3"/>
  </w:num>
  <w:num w:numId="6" w16cid:durableId="1113016497">
    <w:abstractNumId w:val="13"/>
  </w:num>
  <w:num w:numId="7" w16cid:durableId="1375427126">
    <w:abstractNumId w:val="18"/>
  </w:num>
  <w:num w:numId="8" w16cid:durableId="461197002">
    <w:abstractNumId w:val="6"/>
  </w:num>
  <w:num w:numId="9" w16cid:durableId="350297836">
    <w:abstractNumId w:val="17"/>
  </w:num>
  <w:num w:numId="10" w16cid:durableId="380060918">
    <w:abstractNumId w:val="8"/>
  </w:num>
  <w:num w:numId="11" w16cid:durableId="137654235">
    <w:abstractNumId w:val="7"/>
  </w:num>
  <w:num w:numId="12" w16cid:durableId="1805346178">
    <w:abstractNumId w:val="1"/>
  </w:num>
  <w:num w:numId="13" w16cid:durableId="425687956">
    <w:abstractNumId w:val="9"/>
  </w:num>
  <w:num w:numId="14" w16cid:durableId="843202786">
    <w:abstractNumId w:val="0"/>
  </w:num>
  <w:num w:numId="15" w16cid:durableId="1146436216">
    <w:abstractNumId w:val="16"/>
  </w:num>
  <w:num w:numId="16" w16cid:durableId="761486986">
    <w:abstractNumId w:val="10"/>
  </w:num>
  <w:num w:numId="17" w16cid:durableId="651952449">
    <w:abstractNumId w:val="15"/>
  </w:num>
  <w:num w:numId="18" w16cid:durableId="1414203254">
    <w:abstractNumId w:val="12"/>
  </w:num>
  <w:num w:numId="19" w16cid:durableId="90325650">
    <w:abstractNumId w:val="4"/>
  </w:num>
  <w:num w:numId="20" w16cid:durableId="1836994989">
    <w:abstractNumId w:val="14"/>
  </w:num>
  <w:num w:numId="21" w16cid:durableId="1050690911">
    <w:abstractNumId w:val="5"/>
  </w:num>
  <w:num w:numId="22" w16cid:durableId="1371880364">
    <w:abstractNumId w:val="21"/>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310F"/>
    <w:rsid w:val="00024F87"/>
    <w:rsid w:val="0005735A"/>
    <w:rsid w:val="00084A7C"/>
    <w:rsid w:val="000C6D48"/>
    <w:rsid w:val="00133BEF"/>
    <w:rsid w:val="001D6D90"/>
    <w:rsid w:val="00232B94"/>
    <w:rsid w:val="002F06F9"/>
    <w:rsid w:val="00316E00"/>
    <w:rsid w:val="003771B9"/>
    <w:rsid w:val="0039411F"/>
    <w:rsid w:val="003C0119"/>
    <w:rsid w:val="003F067A"/>
    <w:rsid w:val="00436752"/>
    <w:rsid w:val="004E1201"/>
    <w:rsid w:val="004E4324"/>
    <w:rsid w:val="004F47BE"/>
    <w:rsid w:val="00511158"/>
    <w:rsid w:val="00534018"/>
    <w:rsid w:val="00592B56"/>
    <w:rsid w:val="005B31FB"/>
    <w:rsid w:val="005D4E65"/>
    <w:rsid w:val="005D63CE"/>
    <w:rsid w:val="00602CA6"/>
    <w:rsid w:val="00611F12"/>
    <w:rsid w:val="006B2E48"/>
    <w:rsid w:val="006B695A"/>
    <w:rsid w:val="006B69A1"/>
    <w:rsid w:val="006E5A6E"/>
    <w:rsid w:val="007444CD"/>
    <w:rsid w:val="00793050"/>
    <w:rsid w:val="0079454C"/>
    <w:rsid w:val="007D2F68"/>
    <w:rsid w:val="007E0AE7"/>
    <w:rsid w:val="007F676F"/>
    <w:rsid w:val="00813135"/>
    <w:rsid w:val="00885DE4"/>
    <w:rsid w:val="008C1E9B"/>
    <w:rsid w:val="008D0C7F"/>
    <w:rsid w:val="00930623"/>
    <w:rsid w:val="009500D6"/>
    <w:rsid w:val="009A080E"/>
    <w:rsid w:val="00A0195C"/>
    <w:rsid w:val="00A279D3"/>
    <w:rsid w:val="00A6607A"/>
    <w:rsid w:val="00AD6ACA"/>
    <w:rsid w:val="00B34AD8"/>
    <w:rsid w:val="00B87DA8"/>
    <w:rsid w:val="00C07202"/>
    <w:rsid w:val="00C321F6"/>
    <w:rsid w:val="00C36A3E"/>
    <w:rsid w:val="00C75521"/>
    <w:rsid w:val="00C77D00"/>
    <w:rsid w:val="00C9233B"/>
    <w:rsid w:val="00C96DDE"/>
    <w:rsid w:val="00CA15D5"/>
    <w:rsid w:val="00CB28E1"/>
    <w:rsid w:val="00CC5C9B"/>
    <w:rsid w:val="00D01596"/>
    <w:rsid w:val="00D102D7"/>
    <w:rsid w:val="00D34C8C"/>
    <w:rsid w:val="00D4458F"/>
    <w:rsid w:val="00D60DEA"/>
    <w:rsid w:val="00D82A81"/>
    <w:rsid w:val="00DA310F"/>
    <w:rsid w:val="00FD4ED1"/>
    <w:rsid w:val="00FF65A8"/>
  </w:rsids>
  <m:mathPr>
    <m:mathFont m:val="Cambria Math"/>
    <m:brkBin m:val="before"/>
    <m:brkBinSub m:val="--"/>
    <m:smallFrac m:val="0"/>
    <m:dispDef/>
    <m:lMargin m:val="0"/>
    <m:rMargin m:val="0"/>
    <m:defJc m:val="centerGroup"/>
    <m:wrapIndent m:val="1440"/>
    <m:intLim m:val="subSup"/>
    <m:naryLim m:val="undOvr"/>
  </m:mathPr>
  <w:themeFontLang w:val="es-E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6A1D21"/>
  <w15:chartTrackingRefBased/>
  <w15:docId w15:val="{51154DC4-5A13-4A96-B15E-E5D7B6B0B5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6752"/>
    <w:pPr>
      <w:spacing w:line="320" w:lineRule="atLeast"/>
    </w:pPr>
    <w:rPr>
      <w:rFonts w:ascii="Times New Roman" w:hAnsi="Times New Roman"/>
      <w:sz w:val="24"/>
      <w:szCs w:val="22"/>
      <w:lang w:val="en-US" w:eastAsia="en-US"/>
    </w:rPr>
  </w:style>
  <w:style w:type="paragraph" w:styleId="Ttulo1">
    <w:name w:val="heading 1"/>
    <w:basedOn w:val="Normal"/>
    <w:next w:val="Normal"/>
    <w:link w:val="Ttulo1Car"/>
    <w:uiPriority w:val="9"/>
    <w:qFormat/>
    <w:rsid w:val="00C07202"/>
    <w:pPr>
      <w:keepNext/>
      <w:keepLines/>
      <w:numPr>
        <w:numId w:val="9"/>
      </w:numPr>
      <w:spacing w:before="480"/>
      <w:outlineLvl w:val="0"/>
    </w:pPr>
    <w:rPr>
      <w:rFonts w:ascii="Cambria" w:eastAsia="Times New Roman" w:hAnsi="Cambria"/>
      <w:b/>
      <w:bCs/>
      <w:color w:val="365F91"/>
      <w:sz w:val="28"/>
      <w:szCs w:val="28"/>
    </w:rPr>
  </w:style>
  <w:style w:type="paragraph" w:styleId="Ttulo2">
    <w:name w:val="heading 2"/>
    <w:basedOn w:val="Normal"/>
    <w:next w:val="Normal"/>
    <w:link w:val="Ttulo2Car"/>
    <w:uiPriority w:val="9"/>
    <w:unhideWhenUsed/>
    <w:qFormat/>
    <w:rsid w:val="006E5A6E"/>
    <w:pPr>
      <w:keepNext/>
      <w:keepLines/>
      <w:spacing w:before="200"/>
      <w:outlineLvl w:val="1"/>
    </w:pPr>
    <w:rPr>
      <w:rFonts w:ascii="Cambria" w:eastAsia="Times New Roman" w:hAnsi="Cambria"/>
      <w:b/>
      <w:bCs/>
      <w:color w:val="4F81BD"/>
      <w:sz w:val="26"/>
      <w:szCs w:val="26"/>
    </w:rPr>
  </w:style>
  <w:style w:type="paragraph" w:styleId="Ttulo3">
    <w:name w:val="heading 3"/>
    <w:basedOn w:val="Normal"/>
    <w:next w:val="Normal"/>
    <w:link w:val="Ttulo3Car"/>
    <w:uiPriority w:val="9"/>
    <w:semiHidden/>
    <w:unhideWhenUsed/>
    <w:qFormat/>
    <w:rsid w:val="00DA310F"/>
    <w:pPr>
      <w:keepNext/>
      <w:keepLines/>
      <w:spacing w:before="160" w:after="80"/>
      <w:outlineLvl w:val="2"/>
    </w:pPr>
    <w:rPr>
      <w:rFonts w:asciiTheme="minorHAnsi" w:eastAsiaTheme="majorEastAsia" w:hAnsiTheme="minorHAnsi" w:cstheme="majorBidi"/>
      <w:color w:val="365F91" w:themeColor="accent1" w:themeShade="BF"/>
      <w:sz w:val="28"/>
      <w:szCs w:val="28"/>
    </w:rPr>
  </w:style>
  <w:style w:type="paragraph" w:styleId="Ttulo4">
    <w:name w:val="heading 4"/>
    <w:basedOn w:val="Normal"/>
    <w:next w:val="Normal"/>
    <w:link w:val="Ttulo4Car"/>
    <w:uiPriority w:val="9"/>
    <w:semiHidden/>
    <w:unhideWhenUsed/>
    <w:qFormat/>
    <w:rsid w:val="00DA310F"/>
    <w:pPr>
      <w:keepNext/>
      <w:keepLines/>
      <w:spacing w:before="80" w:after="40"/>
      <w:outlineLvl w:val="3"/>
    </w:pPr>
    <w:rPr>
      <w:rFonts w:asciiTheme="minorHAnsi" w:eastAsiaTheme="majorEastAsia" w:hAnsiTheme="minorHAnsi" w:cstheme="majorBidi"/>
      <w:i/>
      <w:iCs/>
      <w:color w:val="365F91" w:themeColor="accent1" w:themeShade="BF"/>
    </w:rPr>
  </w:style>
  <w:style w:type="paragraph" w:styleId="Ttulo5">
    <w:name w:val="heading 5"/>
    <w:basedOn w:val="Normal"/>
    <w:next w:val="Normal"/>
    <w:link w:val="Ttulo5Car"/>
    <w:uiPriority w:val="9"/>
    <w:semiHidden/>
    <w:unhideWhenUsed/>
    <w:qFormat/>
    <w:rsid w:val="00DA310F"/>
    <w:pPr>
      <w:keepNext/>
      <w:keepLines/>
      <w:spacing w:before="80" w:after="40"/>
      <w:outlineLvl w:val="4"/>
    </w:pPr>
    <w:rPr>
      <w:rFonts w:asciiTheme="minorHAnsi" w:eastAsiaTheme="majorEastAsia" w:hAnsiTheme="minorHAnsi" w:cstheme="majorBidi"/>
      <w:color w:val="365F91" w:themeColor="accent1" w:themeShade="BF"/>
    </w:rPr>
  </w:style>
  <w:style w:type="paragraph" w:styleId="Ttulo6">
    <w:name w:val="heading 6"/>
    <w:basedOn w:val="Normal"/>
    <w:next w:val="Normal"/>
    <w:link w:val="Ttulo6Car"/>
    <w:uiPriority w:val="9"/>
    <w:semiHidden/>
    <w:unhideWhenUsed/>
    <w:qFormat/>
    <w:rsid w:val="00DA310F"/>
    <w:pPr>
      <w:keepNext/>
      <w:keepLines/>
      <w:spacing w:before="40"/>
      <w:outlineLvl w:val="5"/>
    </w:pPr>
    <w:rPr>
      <w:rFonts w:asciiTheme="minorHAnsi" w:eastAsiaTheme="majorEastAsia" w:hAnsiTheme="minorHAnsi" w:cstheme="majorBidi"/>
      <w:i/>
      <w:iCs/>
      <w:color w:val="595959" w:themeColor="text1" w:themeTint="A6"/>
    </w:rPr>
  </w:style>
  <w:style w:type="paragraph" w:styleId="Ttulo7">
    <w:name w:val="heading 7"/>
    <w:basedOn w:val="Normal"/>
    <w:next w:val="Normal"/>
    <w:link w:val="Ttulo7Car"/>
    <w:uiPriority w:val="9"/>
    <w:semiHidden/>
    <w:unhideWhenUsed/>
    <w:qFormat/>
    <w:rsid w:val="00DA310F"/>
    <w:pPr>
      <w:keepNext/>
      <w:keepLines/>
      <w:spacing w:before="40"/>
      <w:outlineLvl w:val="6"/>
    </w:pPr>
    <w:rPr>
      <w:rFonts w:asciiTheme="minorHAnsi" w:eastAsiaTheme="majorEastAsia" w:hAnsiTheme="minorHAnsi" w:cstheme="majorBidi"/>
      <w:color w:val="595959" w:themeColor="text1" w:themeTint="A6"/>
    </w:rPr>
  </w:style>
  <w:style w:type="paragraph" w:styleId="Ttulo8">
    <w:name w:val="heading 8"/>
    <w:basedOn w:val="Normal"/>
    <w:next w:val="Normal"/>
    <w:link w:val="Ttulo8Car"/>
    <w:uiPriority w:val="9"/>
    <w:semiHidden/>
    <w:unhideWhenUsed/>
    <w:qFormat/>
    <w:rsid w:val="00DA310F"/>
    <w:pPr>
      <w:keepNext/>
      <w:keepLines/>
      <w:outlineLvl w:val="7"/>
    </w:pPr>
    <w:rPr>
      <w:rFonts w:asciiTheme="minorHAnsi" w:eastAsiaTheme="majorEastAsia" w:hAnsiTheme="minorHAnsi" w:cstheme="majorBidi"/>
      <w:i/>
      <w:iCs/>
      <w:color w:val="272727" w:themeColor="text1" w:themeTint="D8"/>
    </w:rPr>
  </w:style>
  <w:style w:type="paragraph" w:styleId="Ttulo9">
    <w:name w:val="heading 9"/>
    <w:basedOn w:val="Normal"/>
    <w:next w:val="Normal"/>
    <w:link w:val="Ttulo9Car"/>
    <w:uiPriority w:val="9"/>
    <w:semiHidden/>
    <w:unhideWhenUsed/>
    <w:qFormat/>
    <w:rsid w:val="00DA310F"/>
    <w:pPr>
      <w:keepNext/>
      <w:keepLines/>
      <w:outlineLvl w:val="8"/>
    </w:pPr>
    <w:rPr>
      <w:rFonts w:asciiTheme="minorHAnsi" w:eastAsiaTheme="majorEastAsia" w:hAnsiTheme="minorHAnsi"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ListaTitulo3">
    <w:name w:val="Lista Titulo 3"/>
    <w:basedOn w:val="Prrafodelista"/>
    <w:link w:val="ListaTitulo3Car"/>
    <w:qFormat/>
    <w:rsid w:val="00930623"/>
    <w:pPr>
      <w:numPr>
        <w:ilvl w:val="2"/>
        <w:numId w:val="10"/>
      </w:numPr>
    </w:pPr>
    <w:rPr>
      <w:b/>
      <w:i/>
    </w:rPr>
  </w:style>
  <w:style w:type="paragraph" w:customStyle="1" w:styleId="ListaABCD">
    <w:name w:val="Lista (A) (B) (C) (D)"/>
    <w:basedOn w:val="Normal"/>
    <w:qFormat/>
    <w:rsid w:val="00D4458F"/>
    <w:pPr>
      <w:numPr>
        <w:numId w:val="1"/>
      </w:numPr>
      <w:ind w:hanging="720"/>
    </w:pPr>
  </w:style>
  <w:style w:type="paragraph" w:customStyle="1" w:styleId="Lista12340">
    <w:name w:val="Lista (1.) (2.) (3.) (4.)"/>
    <w:basedOn w:val="Normal"/>
    <w:qFormat/>
    <w:rsid w:val="00D4458F"/>
    <w:pPr>
      <w:numPr>
        <w:numId w:val="2"/>
      </w:numPr>
      <w:ind w:hanging="720"/>
    </w:pPr>
  </w:style>
  <w:style w:type="paragraph" w:styleId="Subttulo">
    <w:name w:val="Subtitle"/>
    <w:basedOn w:val="Normal"/>
    <w:next w:val="Normal"/>
    <w:link w:val="SubttuloCar"/>
    <w:uiPriority w:val="11"/>
    <w:qFormat/>
    <w:rsid w:val="0039411F"/>
    <w:pPr>
      <w:numPr>
        <w:ilvl w:val="1"/>
      </w:numPr>
    </w:pPr>
    <w:rPr>
      <w:rFonts w:ascii="Cambria" w:eastAsia="Times New Roman" w:hAnsi="Cambria"/>
      <w:i/>
      <w:iCs/>
      <w:color w:val="4F81BD"/>
      <w:spacing w:val="15"/>
      <w:szCs w:val="24"/>
    </w:rPr>
  </w:style>
  <w:style w:type="character" w:customStyle="1" w:styleId="SubttuloCar">
    <w:name w:val="Subtítulo Car"/>
    <w:basedOn w:val="Fuentedeprrafopredeter"/>
    <w:link w:val="Subttulo"/>
    <w:uiPriority w:val="11"/>
    <w:rsid w:val="0039411F"/>
    <w:rPr>
      <w:rFonts w:ascii="Cambria" w:eastAsia="Times New Roman" w:hAnsi="Cambria" w:cs="Times New Roman"/>
      <w:i/>
      <w:iCs/>
      <w:color w:val="4F81BD"/>
      <w:spacing w:val="15"/>
      <w:sz w:val="24"/>
      <w:szCs w:val="24"/>
    </w:rPr>
  </w:style>
  <w:style w:type="paragraph" w:customStyle="1" w:styleId="ListaEncabezado">
    <w:name w:val="Lista Encabezado"/>
    <w:basedOn w:val="Normal"/>
    <w:qFormat/>
    <w:rsid w:val="00D01596"/>
    <w:pPr>
      <w:spacing w:line="240" w:lineRule="auto"/>
      <w:jc w:val="right"/>
    </w:pPr>
    <w:rPr>
      <w:b/>
      <w:sz w:val="20"/>
    </w:rPr>
  </w:style>
  <w:style w:type="paragraph" w:customStyle="1" w:styleId="ListaIIIIIIIV0">
    <w:name w:val="Lista (I.) (II.) (III.) (IV.)"/>
    <w:basedOn w:val="Normal"/>
    <w:qFormat/>
    <w:rsid w:val="004E4324"/>
    <w:pPr>
      <w:numPr>
        <w:numId w:val="3"/>
      </w:numPr>
      <w:ind w:hanging="720"/>
    </w:pPr>
  </w:style>
  <w:style w:type="paragraph" w:styleId="Prrafodelista">
    <w:name w:val="List Paragraph"/>
    <w:basedOn w:val="Normal"/>
    <w:link w:val="PrrafodelistaCar"/>
    <w:uiPriority w:val="34"/>
    <w:qFormat/>
    <w:rsid w:val="008D0C7F"/>
    <w:pPr>
      <w:ind w:left="720"/>
      <w:contextualSpacing/>
    </w:pPr>
  </w:style>
  <w:style w:type="paragraph" w:customStyle="1" w:styleId="Listaabcd0">
    <w:name w:val="Lista a) b) c) d)"/>
    <w:basedOn w:val="Normal"/>
    <w:qFormat/>
    <w:rsid w:val="008C1E9B"/>
    <w:pPr>
      <w:numPr>
        <w:numId w:val="4"/>
      </w:numPr>
    </w:pPr>
  </w:style>
  <w:style w:type="paragraph" w:customStyle="1" w:styleId="Lista1234">
    <w:name w:val="Lista 1) 2) 3) 4)"/>
    <w:basedOn w:val="Normal"/>
    <w:qFormat/>
    <w:rsid w:val="008C1E9B"/>
    <w:pPr>
      <w:numPr>
        <w:numId w:val="5"/>
      </w:numPr>
    </w:pPr>
  </w:style>
  <w:style w:type="paragraph" w:customStyle="1" w:styleId="Lista12341">
    <w:name w:val="Lista 1. 2. 3. 4."/>
    <w:basedOn w:val="Normal"/>
    <w:qFormat/>
    <w:rsid w:val="0005735A"/>
    <w:pPr>
      <w:numPr>
        <w:numId w:val="6"/>
      </w:numPr>
    </w:pPr>
  </w:style>
  <w:style w:type="paragraph" w:customStyle="1" w:styleId="Listaclausulas1-2-3-">
    <w:name w:val="Lista clausulas 1- 2- 3-"/>
    <w:basedOn w:val="Normal"/>
    <w:qFormat/>
    <w:rsid w:val="008C1E9B"/>
    <w:pPr>
      <w:numPr>
        <w:numId w:val="7"/>
      </w:numPr>
    </w:pPr>
  </w:style>
  <w:style w:type="paragraph" w:customStyle="1" w:styleId="Listaiiiiiiiv">
    <w:name w:val="Lista i) ii) iii) iv)"/>
    <w:basedOn w:val="Normal"/>
    <w:qFormat/>
    <w:rsid w:val="008C1E9B"/>
    <w:pPr>
      <w:numPr>
        <w:numId w:val="8"/>
      </w:numPr>
    </w:pPr>
  </w:style>
  <w:style w:type="numbering" w:customStyle="1" w:styleId="Estilo1">
    <w:name w:val="Estilo1"/>
    <w:uiPriority w:val="99"/>
    <w:rsid w:val="00232B94"/>
    <w:pPr>
      <w:numPr>
        <w:numId w:val="11"/>
      </w:numPr>
    </w:pPr>
  </w:style>
  <w:style w:type="character" w:customStyle="1" w:styleId="Ttulo1Car">
    <w:name w:val="Título 1 Car"/>
    <w:basedOn w:val="Fuentedeprrafopredeter"/>
    <w:link w:val="Ttulo1"/>
    <w:uiPriority w:val="9"/>
    <w:rsid w:val="00C07202"/>
    <w:rPr>
      <w:rFonts w:ascii="Cambria" w:eastAsia="Times New Roman" w:hAnsi="Cambria"/>
      <w:b/>
      <w:bCs/>
      <w:color w:val="365F91"/>
      <w:sz w:val="28"/>
      <w:szCs w:val="28"/>
      <w:lang w:val="en-US" w:eastAsia="en-US"/>
    </w:rPr>
  </w:style>
  <w:style w:type="paragraph" w:styleId="Encabezado">
    <w:name w:val="header"/>
    <w:basedOn w:val="Normal"/>
    <w:link w:val="EncabezadoCar"/>
    <w:uiPriority w:val="99"/>
    <w:unhideWhenUsed/>
    <w:rsid w:val="00436752"/>
    <w:pPr>
      <w:tabs>
        <w:tab w:val="center" w:pos="4252"/>
        <w:tab w:val="right" w:pos="8504"/>
      </w:tabs>
      <w:spacing w:line="240" w:lineRule="auto"/>
    </w:pPr>
  </w:style>
  <w:style w:type="character" w:customStyle="1" w:styleId="Ttulo2Car">
    <w:name w:val="Título 2 Car"/>
    <w:basedOn w:val="Fuentedeprrafopredeter"/>
    <w:link w:val="Ttulo2"/>
    <w:uiPriority w:val="9"/>
    <w:rsid w:val="006E5A6E"/>
    <w:rPr>
      <w:rFonts w:ascii="Cambria" w:eastAsia="Times New Roman" w:hAnsi="Cambria" w:cs="Times New Roman"/>
      <w:b/>
      <w:bCs/>
      <w:color w:val="4F81BD"/>
      <w:sz w:val="26"/>
      <w:szCs w:val="26"/>
    </w:rPr>
  </w:style>
  <w:style w:type="paragraph" w:customStyle="1" w:styleId="ListaTitulo2">
    <w:name w:val="Lista Titulo 2"/>
    <w:basedOn w:val="Normal"/>
    <w:link w:val="ListaTitulo2Car"/>
    <w:qFormat/>
    <w:rsid w:val="00D4458F"/>
    <w:pPr>
      <w:numPr>
        <w:ilvl w:val="1"/>
        <w:numId w:val="10"/>
      </w:numPr>
      <w:ind w:left="709" w:hanging="709"/>
      <w:contextualSpacing/>
    </w:pPr>
    <w:rPr>
      <w:b/>
      <w:smallCaps/>
    </w:rPr>
  </w:style>
  <w:style w:type="character" w:customStyle="1" w:styleId="PrrafodelistaCar">
    <w:name w:val="Párrafo de lista Car"/>
    <w:basedOn w:val="Fuentedeprrafopredeter"/>
    <w:link w:val="Prrafodelista"/>
    <w:uiPriority w:val="34"/>
    <w:rsid w:val="00232B94"/>
    <w:rPr>
      <w:rFonts w:ascii="Times New Roman" w:hAnsi="Times New Roman"/>
      <w:sz w:val="24"/>
    </w:rPr>
  </w:style>
  <w:style w:type="character" w:customStyle="1" w:styleId="EncabezadoCar">
    <w:name w:val="Encabezado Car"/>
    <w:basedOn w:val="Fuentedeprrafopredeter"/>
    <w:link w:val="Encabezado"/>
    <w:uiPriority w:val="99"/>
    <w:rsid w:val="00436752"/>
    <w:rPr>
      <w:rFonts w:ascii="Times New Roman" w:hAnsi="Times New Roman"/>
      <w:sz w:val="24"/>
      <w:szCs w:val="22"/>
      <w:lang w:eastAsia="en-US"/>
    </w:rPr>
  </w:style>
  <w:style w:type="paragraph" w:customStyle="1" w:styleId="ListaPrrafo">
    <w:name w:val="Lista Párrafo"/>
    <w:basedOn w:val="Normal"/>
    <w:link w:val="ListaPrrafoCar"/>
    <w:qFormat/>
    <w:rsid w:val="005D4E65"/>
    <w:pPr>
      <w:ind w:left="360"/>
    </w:pPr>
  </w:style>
  <w:style w:type="character" w:customStyle="1" w:styleId="ListaPrrafoCar">
    <w:name w:val="Lista Párrafo Car"/>
    <w:basedOn w:val="Fuentedeprrafopredeter"/>
    <w:link w:val="ListaPrrafo"/>
    <w:rsid w:val="005D4E65"/>
    <w:rPr>
      <w:rFonts w:ascii="Times New Roman" w:hAnsi="Times New Roman"/>
      <w:sz w:val="24"/>
    </w:rPr>
  </w:style>
  <w:style w:type="character" w:customStyle="1" w:styleId="ListaTitulo3Car">
    <w:name w:val="Lista Titulo 3 Car"/>
    <w:basedOn w:val="Fuentedeprrafopredeter"/>
    <w:link w:val="ListaTitulo3"/>
    <w:rsid w:val="00930623"/>
    <w:rPr>
      <w:rFonts w:ascii="Times New Roman" w:hAnsi="Times New Roman"/>
      <w:b/>
      <w:i/>
      <w:sz w:val="24"/>
      <w:szCs w:val="22"/>
      <w:lang w:val="en-US" w:eastAsia="en-US"/>
    </w:rPr>
  </w:style>
  <w:style w:type="paragraph" w:customStyle="1" w:styleId="ListaTitulo4">
    <w:name w:val="Lista Titulo 4"/>
    <w:basedOn w:val="Prrafodelista"/>
    <w:link w:val="ListaTitulo4Car"/>
    <w:qFormat/>
    <w:rsid w:val="00930623"/>
    <w:pPr>
      <w:numPr>
        <w:ilvl w:val="3"/>
        <w:numId w:val="10"/>
      </w:numPr>
    </w:pPr>
    <w:rPr>
      <w:i/>
    </w:rPr>
  </w:style>
  <w:style w:type="paragraph" w:styleId="Piedepgina">
    <w:name w:val="footer"/>
    <w:basedOn w:val="Normal"/>
    <w:link w:val="PiedepginaCar"/>
    <w:uiPriority w:val="99"/>
    <w:unhideWhenUsed/>
    <w:rsid w:val="00436752"/>
    <w:pPr>
      <w:tabs>
        <w:tab w:val="center" w:pos="4252"/>
        <w:tab w:val="right" w:pos="8504"/>
      </w:tabs>
      <w:spacing w:line="240" w:lineRule="auto"/>
    </w:pPr>
  </w:style>
  <w:style w:type="character" w:customStyle="1" w:styleId="ListaTitulo4Car">
    <w:name w:val="Lista Titulo 4 Car"/>
    <w:basedOn w:val="Fuentedeprrafopredeter"/>
    <w:link w:val="ListaTitulo4"/>
    <w:rsid w:val="00930623"/>
    <w:rPr>
      <w:rFonts w:ascii="Times New Roman" w:hAnsi="Times New Roman"/>
      <w:i/>
      <w:sz w:val="24"/>
      <w:szCs w:val="22"/>
      <w:lang w:val="en-US" w:eastAsia="en-US"/>
    </w:rPr>
  </w:style>
  <w:style w:type="paragraph" w:customStyle="1" w:styleId="ListaTitulo1">
    <w:name w:val="Lista Titulo 1"/>
    <w:basedOn w:val="Normal"/>
    <w:link w:val="ListaTitulo1Car"/>
    <w:qFormat/>
    <w:rsid w:val="00D4458F"/>
    <w:pPr>
      <w:numPr>
        <w:numId w:val="10"/>
      </w:numPr>
      <w:ind w:left="709" w:hanging="709"/>
      <w:contextualSpacing/>
    </w:pPr>
    <w:rPr>
      <w:b/>
      <w:smallCaps/>
    </w:rPr>
  </w:style>
  <w:style w:type="character" w:customStyle="1" w:styleId="ListaTitulo2Car">
    <w:name w:val="Lista Titulo 2 Car"/>
    <w:basedOn w:val="Fuentedeprrafopredeter"/>
    <w:link w:val="ListaTitulo2"/>
    <w:rsid w:val="00D4458F"/>
    <w:rPr>
      <w:rFonts w:ascii="Times New Roman" w:hAnsi="Times New Roman"/>
      <w:b/>
      <w:smallCaps/>
      <w:sz w:val="24"/>
      <w:szCs w:val="22"/>
      <w:lang w:val="en-US" w:eastAsia="en-US"/>
    </w:rPr>
  </w:style>
  <w:style w:type="character" w:customStyle="1" w:styleId="ListaTitulo1Car">
    <w:name w:val="Lista Titulo 1 Car"/>
    <w:basedOn w:val="Fuentedeprrafopredeter"/>
    <w:link w:val="ListaTitulo1"/>
    <w:rsid w:val="00D4458F"/>
    <w:rPr>
      <w:rFonts w:ascii="Times New Roman" w:hAnsi="Times New Roman"/>
      <w:b/>
      <w:smallCaps/>
      <w:sz w:val="24"/>
      <w:szCs w:val="22"/>
      <w:lang w:val="en-US" w:eastAsia="en-US"/>
    </w:rPr>
  </w:style>
  <w:style w:type="character" w:customStyle="1" w:styleId="PiedepginaCar">
    <w:name w:val="Pie de página Car"/>
    <w:basedOn w:val="Fuentedeprrafopredeter"/>
    <w:link w:val="Piedepgina"/>
    <w:uiPriority w:val="99"/>
    <w:rsid w:val="00436752"/>
    <w:rPr>
      <w:rFonts w:ascii="Times New Roman" w:hAnsi="Times New Roman"/>
      <w:sz w:val="24"/>
      <w:szCs w:val="22"/>
      <w:lang w:eastAsia="en-US"/>
    </w:rPr>
  </w:style>
  <w:style w:type="paragraph" w:styleId="Textodeglobo">
    <w:name w:val="Balloon Text"/>
    <w:basedOn w:val="Normal"/>
    <w:link w:val="TextodegloboCar"/>
    <w:uiPriority w:val="99"/>
    <w:semiHidden/>
    <w:unhideWhenUsed/>
    <w:rsid w:val="00436752"/>
    <w:pPr>
      <w:spacing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436752"/>
    <w:rPr>
      <w:rFonts w:ascii="Tahoma" w:hAnsi="Tahoma" w:cs="Tahoma"/>
      <w:sz w:val="16"/>
      <w:szCs w:val="16"/>
      <w:lang w:eastAsia="en-US"/>
    </w:rPr>
  </w:style>
  <w:style w:type="character" w:customStyle="1" w:styleId="Ttulo3Car">
    <w:name w:val="Título 3 Car"/>
    <w:basedOn w:val="Fuentedeprrafopredeter"/>
    <w:link w:val="Ttulo3"/>
    <w:uiPriority w:val="9"/>
    <w:semiHidden/>
    <w:rsid w:val="00DA310F"/>
    <w:rPr>
      <w:rFonts w:asciiTheme="minorHAnsi" w:eastAsiaTheme="majorEastAsia" w:hAnsiTheme="minorHAnsi" w:cstheme="majorBidi"/>
      <w:color w:val="365F91" w:themeColor="accent1" w:themeShade="BF"/>
      <w:sz w:val="28"/>
      <w:szCs w:val="28"/>
      <w:lang w:val="en-US" w:eastAsia="en-US"/>
    </w:rPr>
  </w:style>
  <w:style w:type="character" w:customStyle="1" w:styleId="Ttulo4Car">
    <w:name w:val="Título 4 Car"/>
    <w:basedOn w:val="Fuentedeprrafopredeter"/>
    <w:link w:val="Ttulo4"/>
    <w:uiPriority w:val="9"/>
    <w:semiHidden/>
    <w:rsid w:val="00DA310F"/>
    <w:rPr>
      <w:rFonts w:asciiTheme="minorHAnsi" w:eastAsiaTheme="majorEastAsia" w:hAnsiTheme="minorHAnsi" w:cstheme="majorBidi"/>
      <w:i/>
      <w:iCs/>
      <w:color w:val="365F91" w:themeColor="accent1" w:themeShade="BF"/>
      <w:sz w:val="24"/>
      <w:szCs w:val="22"/>
      <w:lang w:val="en-US" w:eastAsia="en-US"/>
    </w:rPr>
  </w:style>
  <w:style w:type="character" w:customStyle="1" w:styleId="Ttulo5Car">
    <w:name w:val="Título 5 Car"/>
    <w:basedOn w:val="Fuentedeprrafopredeter"/>
    <w:link w:val="Ttulo5"/>
    <w:uiPriority w:val="9"/>
    <w:semiHidden/>
    <w:rsid w:val="00DA310F"/>
    <w:rPr>
      <w:rFonts w:asciiTheme="minorHAnsi" w:eastAsiaTheme="majorEastAsia" w:hAnsiTheme="minorHAnsi" w:cstheme="majorBidi"/>
      <w:color w:val="365F91" w:themeColor="accent1" w:themeShade="BF"/>
      <w:sz w:val="24"/>
      <w:szCs w:val="22"/>
      <w:lang w:val="en-US" w:eastAsia="en-US"/>
    </w:rPr>
  </w:style>
  <w:style w:type="character" w:customStyle="1" w:styleId="Ttulo6Car">
    <w:name w:val="Título 6 Car"/>
    <w:basedOn w:val="Fuentedeprrafopredeter"/>
    <w:link w:val="Ttulo6"/>
    <w:uiPriority w:val="9"/>
    <w:semiHidden/>
    <w:rsid w:val="00DA310F"/>
    <w:rPr>
      <w:rFonts w:asciiTheme="minorHAnsi" w:eastAsiaTheme="majorEastAsia" w:hAnsiTheme="minorHAnsi" w:cstheme="majorBidi"/>
      <w:i/>
      <w:iCs/>
      <w:color w:val="595959" w:themeColor="text1" w:themeTint="A6"/>
      <w:sz w:val="24"/>
      <w:szCs w:val="22"/>
      <w:lang w:val="en-US" w:eastAsia="en-US"/>
    </w:rPr>
  </w:style>
  <w:style w:type="character" w:customStyle="1" w:styleId="Ttulo7Car">
    <w:name w:val="Título 7 Car"/>
    <w:basedOn w:val="Fuentedeprrafopredeter"/>
    <w:link w:val="Ttulo7"/>
    <w:uiPriority w:val="9"/>
    <w:semiHidden/>
    <w:rsid w:val="00DA310F"/>
    <w:rPr>
      <w:rFonts w:asciiTheme="minorHAnsi" w:eastAsiaTheme="majorEastAsia" w:hAnsiTheme="minorHAnsi" w:cstheme="majorBidi"/>
      <w:color w:val="595959" w:themeColor="text1" w:themeTint="A6"/>
      <w:sz w:val="24"/>
      <w:szCs w:val="22"/>
      <w:lang w:val="en-US" w:eastAsia="en-US"/>
    </w:rPr>
  </w:style>
  <w:style w:type="character" w:customStyle="1" w:styleId="Ttulo8Car">
    <w:name w:val="Título 8 Car"/>
    <w:basedOn w:val="Fuentedeprrafopredeter"/>
    <w:link w:val="Ttulo8"/>
    <w:uiPriority w:val="9"/>
    <w:semiHidden/>
    <w:rsid w:val="00DA310F"/>
    <w:rPr>
      <w:rFonts w:asciiTheme="minorHAnsi" w:eastAsiaTheme="majorEastAsia" w:hAnsiTheme="minorHAnsi" w:cstheme="majorBidi"/>
      <w:i/>
      <w:iCs/>
      <w:color w:val="272727" w:themeColor="text1" w:themeTint="D8"/>
      <w:sz w:val="24"/>
      <w:szCs w:val="22"/>
      <w:lang w:val="en-US" w:eastAsia="en-US"/>
    </w:rPr>
  </w:style>
  <w:style w:type="character" w:customStyle="1" w:styleId="Ttulo9Car">
    <w:name w:val="Título 9 Car"/>
    <w:basedOn w:val="Fuentedeprrafopredeter"/>
    <w:link w:val="Ttulo9"/>
    <w:uiPriority w:val="9"/>
    <w:semiHidden/>
    <w:rsid w:val="00DA310F"/>
    <w:rPr>
      <w:rFonts w:asciiTheme="minorHAnsi" w:eastAsiaTheme="majorEastAsia" w:hAnsiTheme="minorHAnsi" w:cstheme="majorBidi"/>
      <w:color w:val="272727" w:themeColor="text1" w:themeTint="D8"/>
      <w:sz w:val="24"/>
      <w:szCs w:val="22"/>
      <w:lang w:val="en-US" w:eastAsia="en-US"/>
    </w:rPr>
  </w:style>
  <w:style w:type="paragraph" w:styleId="Ttulo">
    <w:name w:val="Title"/>
    <w:basedOn w:val="Normal"/>
    <w:next w:val="Normal"/>
    <w:link w:val="TtuloCar"/>
    <w:uiPriority w:val="10"/>
    <w:qFormat/>
    <w:rsid w:val="00DA310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DA310F"/>
    <w:rPr>
      <w:rFonts w:asciiTheme="majorHAnsi" w:eastAsiaTheme="majorEastAsia" w:hAnsiTheme="majorHAnsi" w:cstheme="majorBidi"/>
      <w:spacing w:val="-10"/>
      <w:kern w:val="28"/>
      <w:sz w:val="56"/>
      <w:szCs w:val="56"/>
      <w:lang w:val="en-US" w:eastAsia="en-US"/>
    </w:rPr>
  </w:style>
  <w:style w:type="paragraph" w:styleId="Cita">
    <w:name w:val="Quote"/>
    <w:basedOn w:val="Normal"/>
    <w:next w:val="Normal"/>
    <w:link w:val="CitaCar"/>
    <w:uiPriority w:val="29"/>
    <w:rsid w:val="00DA310F"/>
    <w:pPr>
      <w:spacing w:before="160" w:after="160"/>
      <w:jc w:val="center"/>
    </w:pPr>
    <w:rPr>
      <w:i/>
      <w:iCs/>
      <w:color w:val="404040" w:themeColor="text1" w:themeTint="BF"/>
    </w:rPr>
  </w:style>
  <w:style w:type="character" w:customStyle="1" w:styleId="CitaCar">
    <w:name w:val="Cita Car"/>
    <w:basedOn w:val="Fuentedeprrafopredeter"/>
    <w:link w:val="Cita"/>
    <w:uiPriority w:val="29"/>
    <w:rsid w:val="00DA310F"/>
    <w:rPr>
      <w:rFonts w:ascii="Times New Roman" w:hAnsi="Times New Roman"/>
      <w:i/>
      <w:iCs/>
      <w:color w:val="404040" w:themeColor="text1" w:themeTint="BF"/>
      <w:sz w:val="24"/>
      <w:szCs w:val="22"/>
      <w:lang w:val="en-US" w:eastAsia="en-US"/>
    </w:rPr>
  </w:style>
  <w:style w:type="character" w:styleId="nfasisintenso">
    <w:name w:val="Intense Emphasis"/>
    <w:basedOn w:val="Fuentedeprrafopredeter"/>
    <w:uiPriority w:val="21"/>
    <w:qFormat/>
    <w:rsid w:val="00DA310F"/>
    <w:rPr>
      <w:i/>
      <w:iCs/>
      <w:color w:val="365F91" w:themeColor="accent1" w:themeShade="BF"/>
    </w:rPr>
  </w:style>
  <w:style w:type="paragraph" w:styleId="Citadestacada">
    <w:name w:val="Intense Quote"/>
    <w:basedOn w:val="Normal"/>
    <w:next w:val="Normal"/>
    <w:link w:val="CitadestacadaCar"/>
    <w:uiPriority w:val="30"/>
    <w:qFormat/>
    <w:rsid w:val="00DA310F"/>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CitadestacadaCar">
    <w:name w:val="Cita destacada Car"/>
    <w:basedOn w:val="Fuentedeprrafopredeter"/>
    <w:link w:val="Citadestacada"/>
    <w:uiPriority w:val="30"/>
    <w:rsid w:val="00DA310F"/>
    <w:rPr>
      <w:rFonts w:ascii="Times New Roman" w:hAnsi="Times New Roman"/>
      <w:i/>
      <w:iCs/>
      <w:color w:val="365F91" w:themeColor="accent1" w:themeShade="BF"/>
      <w:sz w:val="24"/>
      <w:szCs w:val="22"/>
      <w:lang w:val="en-US" w:eastAsia="en-US"/>
    </w:rPr>
  </w:style>
  <w:style w:type="character" w:styleId="Referenciaintensa">
    <w:name w:val="Intense Reference"/>
    <w:basedOn w:val="Fuentedeprrafopredeter"/>
    <w:uiPriority w:val="32"/>
    <w:rsid w:val="00DA310F"/>
    <w:rPr>
      <w:b/>
      <w:bCs/>
      <w:smallCaps/>
      <w:color w:val="365F91" w:themeColor="accent1" w:themeShade="BF"/>
      <w:spacing w:val="5"/>
    </w:rPr>
  </w:style>
  <w:style w:type="paragraph" w:styleId="Textonotapie">
    <w:name w:val="footnote text"/>
    <w:basedOn w:val="Normal"/>
    <w:next w:val="Normal"/>
    <w:link w:val="TextonotapieCar"/>
    <w:uiPriority w:val="99"/>
    <w:qFormat/>
    <w:rsid w:val="00DA310F"/>
    <w:pPr>
      <w:tabs>
        <w:tab w:val="left" w:pos="284"/>
      </w:tabs>
      <w:spacing w:after="120" w:line="260" w:lineRule="atLeast"/>
      <w:ind w:left="284" w:hanging="284"/>
      <w:jc w:val="both"/>
    </w:pPr>
    <w:rPr>
      <w:szCs w:val="20"/>
      <w:lang w:val="en-GB"/>
    </w:rPr>
  </w:style>
  <w:style w:type="character" w:customStyle="1" w:styleId="TextonotapieCar">
    <w:name w:val="Texto nota pie Car"/>
    <w:basedOn w:val="Fuentedeprrafopredeter"/>
    <w:link w:val="Textonotapie"/>
    <w:uiPriority w:val="99"/>
    <w:rsid w:val="00DA310F"/>
    <w:rPr>
      <w:rFonts w:ascii="Times New Roman" w:hAnsi="Times New Roman"/>
      <w:sz w:val="24"/>
      <w:lang w:val="en-GB" w:eastAsia="en-US"/>
    </w:rPr>
  </w:style>
  <w:style w:type="character" w:styleId="Refdenotaalpie">
    <w:name w:val="footnote reference"/>
    <w:basedOn w:val="Fuentedeprrafopredeter"/>
    <w:uiPriority w:val="99"/>
    <w:qFormat/>
    <w:rsid w:val="00DA310F"/>
    <w:rPr>
      <w:rFonts w:ascii="Times New Roman" w:hAnsi="Times New Roman"/>
      <w:sz w:val="24"/>
      <w:vertAlign w:val="superscript"/>
    </w:rPr>
  </w:style>
  <w:style w:type="numbering" w:customStyle="1" w:styleId="ListaGAPPARRconn">
    <w:name w:val="Lista GAP PARR con (nº)"/>
    <w:basedOn w:val="Sinlista"/>
    <w:uiPriority w:val="99"/>
    <w:locked/>
    <w:rsid w:val="00DA310F"/>
    <w:pPr>
      <w:numPr>
        <w:numId w:val="12"/>
      </w:numPr>
    </w:pPr>
  </w:style>
  <w:style w:type="paragraph" w:styleId="Textoindependiente">
    <w:name w:val="Body Text"/>
    <w:basedOn w:val="Normal"/>
    <w:link w:val="TextoindependienteCar"/>
    <w:uiPriority w:val="1"/>
    <w:qFormat/>
    <w:rsid w:val="00DA310F"/>
    <w:pPr>
      <w:spacing w:after="320" w:line="320" w:lineRule="exact"/>
      <w:jc w:val="both"/>
    </w:pPr>
    <w:rPr>
      <w:rFonts w:eastAsia="Times New Roman"/>
      <w:szCs w:val="24"/>
      <w:lang w:val="en-GB" w:eastAsia="es-ES"/>
    </w:rPr>
  </w:style>
  <w:style w:type="character" w:customStyle="1" w:styleId="TextoindependienteCar">
    <w:name w:val="Texto independiente Car"/>
    <w:basedOn w:val="Fuentedeprrafopredeter"/>
    <w:link w:val="Textoindependiente"/>
    <w:uiPriority w:val="1"/>
    <w:rsid w:val="00DA310F"/>
    <w:rPr>
      <w:rFonts w:ascii="Times New Roman" w:eastAsia="Times New Roman" w:hAnsi="Times New Roman"/>
      <w:sz w:val="24"/>
      <w:szCs w:val="24"/>
      <w:lang w:val="en-GB"/>
    </w:rPr>
  </w:style>
  <w:style w:type="paragraph" w:customStyle="1" w:styleId="Ttulodocumento">
    <w:name w:val="Título documento"/>
    <w:basedOn w:val="Textoindependiente"/>
    <w:link w:val="TtulodocumentoCar"/>
    <w:qFormat/>
    <w:rsid w:val="00DA310F"/>
    <w:pPr>
      <w:keepNext/>
      <w:spacing w:after="480"/>
      <w:jc w:val="center"/>
      <w:outlineLvl w:val="0"/>
    </w:pPr>
    <w:rPr>
      <w:b/>
      <w:bCs/>
    </w:rPr>
  </w:style>
  <w:style w:type="character" w:customStyle="1" w:styleId="TtulodocumentoCar">
    <w:name w:val="Título documento Car"/>
    <w:basedOn w:val="TextoindependienteCar"/>
    <w:link w:val="Ttulodocumento"/>
    <w:rsid w:val="00DA310F"/>
    <w:rPr>
      <w:rFonts w:ascii="Times New Roman" w:eastAsia="Times New Roman" w:hAnsi="Times New Roman"/>
      <w:b/>
      <w:bCs/>
      <w:sz w:val="24"/>
      <w:szCs w:val="24"/>
      <w:lang w:val="en-GB"/>
    </w:rPr>
  </w:style>
  <w:style w:type="paragraph" w:styleId="Revisin">
    <w:name w:val="Revision"/>
    <w:hidden/>
    <w:uiPriority w:val="99"/>
    <w:semiHidden/>
    <w:rsid w:val="00B87DA8"/>
    <w:rPr>
      <w:rFonts w:ascii="Times New Roman" w:hAnsi="Times New Roman"/>
      <w:sz w:val="24"/>
      <w:szCs w:val="22"/>
      <w:lang w:val="en-US" w:eastAsia="en-US"/>
    </w:rPr>
  </w:style>
  <w:style w:type="paragraph" w:customStyle="1" w:styleId="GAPNormal">
    <w:name w:val="GAP_Normal"/>
    <w:basedOn w:val="Normal"/>
    <w:link w:val="GAPNormalCar"/>
    <w:qFormat/>
    <w:locked/>
    <w:rsid w:val="00B87DA8"/>
    <w:pPr>
      <w:tabs>
        <w:tab w:val="left" w:pos="0"/>
      </w:tabs>
      <w:spacing w:after="320"/>
      <w:jc w:val="both"/>
    </w:pPr>
    <w:rPr>
      <w:rFonts w:eastAsia="Courier New"/>
      <w:color w:val="080808"/>
      <w:szCs w:val="24"/>
      <w:lang w:val="en-GB" w:eastAsia="es-ES"/>
    </w:rPr>
  </w:style>
  <w:style w:type="character" w:customStyle="1" w:styleId="GAPNormalCar">
    <w:name w:val="GAP_Normal Car"/>
    <w:basedOn w:val="Fuentedeprrafopredeter"/>
    <w:link w:val="GAPNormal"/>
    <w:rsid w:val="00B87DA8"/>
    <w:rPr>
      <w:rFonts w:ascii="Times New Roman" w:eastAsia="Courier New" w:hAnsi="Times New Roman"/>
      <w:color w:val="080808"/>
      <w:sz w:val="24"/>
      <w:szCs w:val="24"/>
      <w:lang w:val="en-GB"/>
    </w:rPr>
  </w:style>
  <w:style w:type="numbering" w:customStyle="1" w:styleId="Sinlista1">
    <w:name w:val="Sin lista1"/>
    <w:next w:val="Sinlista"/>
    <w:uiPriority w:val="99"/>
    <w:semiHidden/>
    <w:unhideWhenUsed/>
    <w:rsid w:val="00B87DA8"/>
  </w:style>
  <w:style w:type="character" w:styleId="Refdecomentario">
    <w:name w:val="annotation reference"/>
    <w:basedOn w:val="Fuentedeprrafopredeter"/>
    <w:uiPriority w:val="99"/>
    <w:semiHidden/>
    <w:unhideWhenUsed/>
    <w:rsid w:val="00B87DA8"/>
    <w:rPr>
      <w:sz w:val="16"/>
      <w:szCs w:val="16"/>
    </w:rPr>
  </w:style>
  <w:style w:type="paragraph" w:styleId="Textocomentario">
    <w:name w:val="annotation text"/>
    <w:basedOn w:val="Normal"/>
    <w:link w:val="TextocomentarioCar"/>
    <w:uiPriority w:val="99"/>
    <w:unhideWhenUsed/>
    <w:rsid w:val="00B87DA8"/>
    <w:pPr>
      <w:spacing w:after="160" w:line="240" w:lineRule="auto"/>
    </w:pPr>
    <w:rPr>
      <w:rFonts w:ascii="Calibri" w:hAnsi="Calibri"/>
      <w:sz w:val="20"/>
      <w:szCs w:val="20"/>
      <w:lang w:val="en-GB"/>
    </w:rPr>
  </w:style>
  <w:style w:type="character" w:customStyle="1" w:styleId="TextocomentarioCar">
    <w:name w:val="Texto comentario Car"/>
    <w:basedOn w:val="Fuentedeprrafopredeter"/>
    <w:link w:val="Textocomentario"/>
    <w:uiPriority w:val="99"/>
    <w:rsid w:val="00B87DA8"/>
    <w:rPr>
      <w:lang w:val="en-GB" w:eastAsia="en-US"/>
    </w:rPr>
  </w:style>
  <w:style w:type="paragraph" w:styleId="Asuntodelcomentario">
    <w:name w:val="annotation subject"/>
    <w:basedOn w:val="Textocomentario"/>
    <w:next w:val="Textocomentario"/>
    <w:link w:val="AsuntodelcomentarioCar"/>
    <w:uiPriority w:val="99"/>
    <w:semiHidden/>
    <w:unhideWhenUsed/>
    <w:rsid w:val="00B87DA8"/>
    <w:rPr>
      <w:b/>
      <w:bCs/>
    </w:rPr>
  </w:style>
  <w:style w:type="character" w:customStyle="1" w:styleId="AsuntodelcomentarioCar">
    <w:name w:val="Asunto del comentario Car"/>
    <w:basedOn w:val="TextocomentarioCar"/>
    <w:link w:val="Asuntodelcomentario"/>
    <w:uiPriority w:val="99"/>
    <w:semiHidden/>
    <w:rsid w:val="00B87DA8"/>
    <w:rPr>
      <w:b/>
      <w:bCs/>
      <w:lang w:val="en-GB" w:eastAsia="en-US"/>
    </w:rPr>
  </w:style>
  <w:style w:type="table" w:styleId="Tablaconcuadrcula">
    <w:name w:val="Table Grid"/>
    <w:basedOn w:val="Tablanormal"/>
    <w:uiPriority w:val="39"/>
    <w:rsid w:val="00B87DA8"/>
    <w:rPr>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ipervnculo1">
    <w:name w:val="Hipervínculo1"/>
    <w:basedOn w:val="Fuentedeprrafopredeter"/>
    <w:uiPriority w:val="99"/>
    <w:unhideWhenUsed/>
    <w:rsid w:val="00B87DA8"/>
    <w:rPr>
      <w:color w:val="0563C1"/>
      <w:u w:val="single"/>
    </w:rPr>
  </w:style>
  <w:style w:type="character" w:styleId="Mencinsinresolver">
    <w:name w:val="Unresolved Mention"/>
    <w:basedOn w:val="Fuentedeprrafopredeter"/>
    <w:uiPriority w:val="99"/>
    <w:semiHidden/>
    <w:unhideWhenUsed/>
    <w:rsid w:val="00B87DA8"/>
    <w:rPr>
      <w:color w:val="605E5C"/>
      <w:shd w:val="clear" w:color="auto" w:fill="E1DFDD"/>
    </w:rPr>
  </w:style>
  <w:style w:type="paragraph" w:styleId="Textoindependiente2">
    <w:name w:val="Body Text 2"/>
    <w:basedOn w:val="Normal"/>
    <w:link w:val="Textoindependiente2Car"/>
    <w:uiPriority w:val="99"/>
    <w:semiHidden/>
    <w:unhideWhenUsed/>
    <w:rsid w:val="00B87DA8"/>
    <w:pPr>
      <w:spacing w:after="120" w:line="480" w:lineRule="auto"/>
    </w:pPr>
    <w:rPr>
      <w:rFonts w:ascii="Calibri" w:hAnsi="Calibri"/>
      <w:sz w:val="22"/>
      <w:lang w:val="en-GB"/>
    </w:rPr>
  </w:style>
  <w:style w:type="character" w:customStyle="1" w:styleId="Textoindependiente2Car">
    <w:name w:val="Texto independiente 2 Car"/>
    <w:basedOn w:val="Fuentedeprrafopredeter"/>
    <w:link w:val="Textoindependiente2"/>
    <w:uiPriority w:val="99"/>
    <w:semiHidden/>
    <w:rsid w:val="00B87DA8"/>
    <w:rPr>
      <w:sz w:val="22"/>
      <w:szCs w:val="22"/>
      <w:lang w:val="en-GB" w:eastAsia="en-US"/>
    </w:rPr>
  </w:style>
  <w:style w:type="paragraph" w:customStyle="1" w:styleId="Maintitle">
    <w:name w:val="Main title"/>
    <w:basedOn w:val="Textoindependiente"/>
    <w:next w:val="Textoindependiente"/>
    <w:uiPriority w:val="1"/>
    <w:qFormat/>
    <w:locked/>
    <w:rsid w:val="00B87DA8"/>
    <w:pPr>
      <w:keepNext/>
      <w:keepLines/>
      <w:jc w:val="center"/>
      <w:outlineLvl w:val="1"/>
    </w:pPr>
    <w:rPr>
      <w:rFonts w:hAnsi="Times New Roman Bold"/>
      <w:b/>
      <w:smallCaps/>
    </w:rPr>
  </w:style>
  <w:style w:type="character" w:styleId="Hipervnculo">
    <w:name w:val="Hyperlink"/>
    <w:basedOn w:val="Fuentedeprrafopredeter"/>
    <w:uiPriority w:val="99"/>
    <w:unhideWhenUsed/>
    <w:rsid w:val="00B87DA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dmiraleurope.com" TargetMode="External"/><Relationship Id="rId3" Type="http://schemas.openxmlformats.org/officeDocument/2006/relationships/settings" Target="settings.xml"/><Relationship Id="rId7" Type="http://schemas.openxmlformats.org/officeDocument/2006/relationships/hyperlink" Target="http://www.admiralseguros.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23</Pages>
  <Words>8375</Words>
  <Characters>44896</Characters>
  <Application>Microsoft Office Word</Application>
  <DocSecurity>0</DocSecurity>
  <Lines>955</Lines>
  <Paragraphs>287</Paragraphs>
  <ScaleCrop>false</ScaleCrop>
  <HeadingPairs>
    <vt:vector size="2" baseType="variant">
      <vt:variant>
        <vt:lpstr>Título</vt:lpstr>
      </vt:variant>
      <vt:variant>
        <vt:i4>1</vt:i4>
      </vt:variant>
    </vt:vector>
  </HeadingPairs>
  <TitlesOfParts>
    <vt:vector size="1" baseType="lpstr">
      <vt:lpstr/>
    </vt:vector>
  </TitlesOfParts>
  <Company>Gómez-Acebo &amp; Pombo</Company>
  <LinksUpToDate>false</LinksUpToDate>
  <CharactersWithSpaces>52984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GA_P</dc:creator>
  <cp:keywords/>
  <dc:description/>
  <cp:lastModifiedBy>GA_P</cp:lastModifiedBy>
  <cp:revision>6</cp:revision>
  <dcterms:created xsi:type="dcterms:W3CDTF">2026-03-18T15:07:00Z</dcterms:created>
  <dcterms:modified xsi:type="dcterms:W3CDTF">2026-03-18T16:53:00Z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c2e2fbc-c146-47f5-9855-44b2ad8bbb6d_Enabled">
    <vt:lpwstr>true</vt:lpwstr>
  </property>
  <property fmtid="{D5CDD505-2E9C-101B-9397-08002B2CF9AE}" pid="3" name="MSIP_Label_ec2e2fbc-c146-47f5-9855-44b2ad8bbb6d_SetDate">
    <vt:lpwstr>2026-03-17T18:25:34Z</vt:lpwstr>
  </property>
  <property fmtid="{D5CDD505-2E9C-101B-9397-08002B2CF9AE}" pid="4" name="MSIP_Label_ec2e2fbc-c146-47f5-9855-44b2ad8bbb6d_Method">
    <vt:lpwstr>Standard</vt:lpwstr>
  </property>
  <property fmtid="{D5CDD505-2E9C-101B-9397-08002B2CF9AE}" pid="5" name="MSIP_Label_ec2e2fbc-c146-47f5-9855-44b2ad8bbb6d_Name">
    <vt:lpwstr>Confidencial</vt:lpwstr>
  </property>
  <property fmtid="{D5CDD505-2E9C-101B-9397-08002B2CF9AE}" pid="6" name="MSIP_Label_ec2e2fbc-c146-47f5-9855-44b2ad8bbb6d_SiteId">
    <vt:lpwstr>60786485-b067-48a0-8533-08bf34ceeef1</vt:lpwstr>
  </property>
  <property fmtid="{D5CDD505-2E9C-101B-9397-08002B2CF9AE}" pid="7" name="MSIP_Label_ec2e2fbc-c146-47f5-9855-44b2ad8bbb6d_ActionId">
    <vt:lpwstr>84a221d5-514b-42ac-b695-ba0c756e465e</vt:lpwstr>
  </property>
  <property fmtid="{D5CDD505-2E9C-101B-9397-08002B2CF9AE}" pid="8" name="MSIP_Label_ec2e2fbc-c146-47f5-9855-44b2ad8bbb6d_ContentBits">
    <vt:lpwstr>0</vt:lpwstr>
  </property>
  <property fmtid="{D5CDD505-2E9C-101B-9397-08002B2CF9AE}" pid="9" name="MSIP_Label_ec2e2fbc-c146-47f5-9855-44b2ad8bbb6d_Tag">
    <vt:lpwstr>10, 3, 0, 1</vt:lpwstr>
  </property>
</Properties>
</file>